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B1003" w14:textId="77777777" w:rsidR="003B3BC1" w:rsidRDefault="003B3BC1">
      <w:pPr>
        <w:rPr>
          <w:b/>
          <w:bCs/>
          <w:sz w:val="28"/>
          <w:szCs w:val="28"/>
        </w:rPr>
      </w:pPr>
    </w:p>
    <w:p w14:paraId="26054C00" w14:textId="77777777" w:rsidR="003B3BC1" w:rsidRDefault="003B3BC1">
      <w:pPr>
        <w:rPr>
          <w:b/>
          <w:bCs/>
          <w:sz w:val="28"/>
          <w:szCs w:val="28"/>
        </w:rPr>
      </w:pPr>
    </w:p>
    <w:p w14:paraId="48C96A89" w14:textId="77777777" w:rsidR="003B3BC1" w:rsidRDefault="003B3BC1">
      <w:pPr>
        <w:rPr>
          <w:b/>
          <w:bCs/>
          <w:sz w:val="28"/>
          <w:szCs w:val="28"/>
        </w:rPr>
      </w:pPr>
    </w:p>
    <w:p w14:paraId="59C30CD6" w14:textId="77777777" w:rsidR="003B3BC1" w:rsidRDefault="003B3BC1">
      <w:pPr>
        <w:rPr>
          <w:b/>
          <w:bCs/>
          <w:sz w:val="28"/>
          <w:szCs w:val="28"/>
        </w:rPr>
      </w:pPr>
    </w:p>
    <w:p w14:paraId="12B5F80C" w14:textId="77777777" w:rsidR="003B3BC1" w:rsidRDefault="003B3BC1">
      <w:pPr>
        <w:rPr>
          <w:b/>
          <w:bCs/>
          <w:sz w:val="28"/>
          <w:szCs w:val="28"/>
        </w:rPr>
      </w:pPr>
    </w:p>
    <w:p w14:paraId="27487E28" w14:textId="77777777" w:rsidR="003B3BC1" w:rsidRDefault="003B3BC1">
      <w:pPr>
        <w:rPr>
          <w:b/>
          <w:bCs/>
          <w:sz w:val="28"/>
          <w:szCs w:val="28"/>
        </w:rPr>
      </w:pPr>
    </w:p>
    <w:p w14:paraId="1AA70330" w14:textId="77777777" w:rsidR="003B3BC1" w:rsidRDefault="003B3BC1">
      <w:pPr>
        <w:rPr>
          <w:b/>
          <w:bCs/>
          <w:sz w:val="28"/>
          <w:szCs w:val="28"/>
        </w:rPr>
      </w:pPr>
    </w:p>
    <w:p w14:paraId="5F2F33EF" w14:textId="77777777" w:rsidR="003B3BC1" w:rsidRDefault="003B3BC1">
      <w:pPr>
        <w:rPr>
          <w:b/>
          <w:bCs/>
          <w:sz w:val="28"/>
          <w:szCs w:val="28"/>
        </w:rPr>
      </w:pPr>
    </w:p>
    <w:p w14:paraId="0443EB21" w14:textId="14320D26" w:rsidR="003B3BC1" w:rsidRPr="00943B7D" w:rsidRDefault="003B3BC1" w:rsidP="00943B7D">
      <w:pPr>
        <w:jc w:val="center"/>
        <w:rPr>
          <w:b/>
          <w:bCs/>
          <w:sz w:val="56"/>
          <w:szCs w:val="56"/>
        </w:rPr>
      </w:pPr>
      <w:r w:rsidRPr="00943B7D">
        <w:rPr>
          <w:b/>
          <w:bCs/>
          <w:sz w:val="56"/>
          <w:szCs w:val="56"/>
        </w:rPr>
        <w:t>Platforma integracyjna systemu Transport GZM dla automatów biletowych</w:t>
      </w:r>
    </w:p>
    <w:p w14:paraId="738E211E" w14:textId="2E9965A0" w:rsidR="003B3BC1" w:rsidRPr="003B3BC1" w:rsidRDefault="003B3BC1" w:rsidP="003B3BC1">
      <w:pPr>
        <w:spacing w:line="259" w:lineRule="auto"/>
        <w:rPr>
          <w:b/>
          <w:bCs/>
          <w:sz w:val="28"/>
          <w:szCs w:val="28"/>
        </w:rPr>
      </w:pPr>
      <w:r>
        <w:rPr>
          <w:b/>
          <w:bCs/>
          <w:sz w:val="28"/>
          <w:szCs w:val="28"/>
        </w:rPr>
        <w:br w:type="page"/>
      </w:r>
    </w:p>
    <w:p w14:paraId="7F791480" w14:textId="5B844CEB" w:rsidR="003B3BC1" w:rsidRDefault="003B3BC1">
      <w:r>
        <w:lastRenderedPageBreak/>
        <w:t>Historia zmian:</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firstRow="1" w:lastRow="1" w:firstColumn="1" w:lastColumn="1" w:noHBand="0" w:noVBand="0"/>
      </w:tblPr>
      <w:tblGrid>
        <w:gridCol w:w="939"/>
        <w:gridCol w:w="1540"/>
        <w:gridCol w:w="4510"/>
        <w:gridCol w:w="2067"/>
      </w:tblGrid>
      <w:tr w:rsidR="003B3BC1" w14:paraId="3C16B477" w14:textId="77777777" w:rsidTr="00420AF1">
        <w:trPr>
          <w:cantSplit/>
          <w:tblHeader/>
        </w:trPr>
        <w:tc>
          <w:tcPr>
            <w:tcW w:w="939" w:type="dxa"/>
            <w:tcBorders>
              <w:top w:val="single" w:sz="6" w:space="0" w:color="000080"/>
              <w:left w:val="single" w:sz="6" w:space="0" w:color="000080"/>
              <w:bottom w:val="single" w:sz="6" w:space="0" w:color="000080"/>
              <w:right w:val="single" w:sz="6" w:space="0" w:color="000080"/>
            </w:tcBorders>
            <w:shd w:val="solid" w:color="000080" w:fill="FFFFFF"/>
            <w:hideMark/>
          </w:tcPr>
          <w:p w14:paraId="1804CEB4" w14:textId="77777777" w:rsidR="003B3BC1" w:rsidRDefault="003B3BC1">
            <w:pPr>
              <w:keepNext/>
              <w:spacing w:after="0"/>
            </w:pPr>
            <w:r>
              <w:t>Numer wersji</w:t>
            </w:r>
          </w:p>
        </w:tc>
        <w:tc>
          <w:tcPr>
            <w:tcW w:w="1540" w:type="dxa"/>
            <w:tcBorders>
              <w:top w:val="single" w:sz="6" w:space="0" w:color="000080"/>
              <w:left w:val="single" w:sz="6" w:space="0" w:color="000080"/>
              <w:bottom w:val="single" w:sz="6" w:space="0" w:color="000080"/>
              <w:right w:val="single" w:sz="6" w:space="0" w:color="000080"/>
            </w:tcBorders>
            <w:shd w:val="solid" w:color="000080" w:fill="FFFFFF"/>
            <w:hideMark/>
          </w:tcPr>
          <w:p w14:paraId="0B7A9288" w14:textId="77777777" w:rsidR="003B3BC1" w:rsidRDefault="003B3BC1">
            <w:pPr>
              <w:keepNext/>
              <w:spacing w:after="0"/>
            </w:pPr>
            <w:r>
              <w:t>Data</w:t>
            </w:r>
          </w:p>
        </w:tc>
        <w:tc>
          <w:tcPr>
            <w:tcW w:w="4510" w:type="dxa"/>
            <w:tcBorders>
              <w:top w:val="single" w:sz="6" w:space="0" w:color="000080"/>
              <w:left w:val="single" w:sz="6" w:space="0" w:color="000080"/>
              <w:bottom w:val="single" w:sz="6" w:space="0" w:color="000080"/>
              <w:right w:val="single" w:sz="6" w:space="0" w:color="000080"/>
            </w:tcBorders>
            <w:shd w:val="solid" w:color="000080" w:fill="FFFFFF"/>
            <w:hideMark/>
          </w:tcPr>
          <w:p w14:paraId="7854154A" w14:textId="77777777" w:rsidR="003B3BC1" w:rsidRDefault="003B3BC1">
            <w:pPr>
              <w:keepNext/>
              <w:spacing w:after="0"/>
            </w:pPr>
            <w:r>
              <w:t>Opis zmian</w:t>
            </w:r>
          </w:p>
        </w:tc>
        <w:tc>
          <w:tcPr>
            <w:tcW w:w="2067" w:type="dxa"/>
            <w:tcBorders>
              <w:top w:val="single" w:sz="6" w:space="0" w:color="000080"/>
              <w:left w:val="single" w:sz="6" w:space="0" w:color="000080"/>
              <w:bottom w:val="single" w:sz="6" w:space="0" w:color="000080"/>
              <w:right w:val="single" w:sz="6" w:space="0" w:color="000080"/>
            </w:tcBorders>
            <w:shd w:val="solid" w:color="000080" w:fill="FFFFFF"/>
            <w:hideMark/>
          </w:tcPr>
          <w:p w14:paraId="4CC1A654" w14:textId="77777777" w:rsidR="003B3BC1" w:rsidRDefault="003B3BC1">
            <w:pPr>
              <w:keepNext/>
              <w:spacing w:after="0"/>
            </w:pPr>
            <w:r>
              <w:t>Autor</w:t>
            </w:r>
          </w:p>
        </w:tc>
      </w:tr>
      <w:tr w:rsidR="003B3BC1" w14:paraId="5A548399" w14:textId="77777777" w:rsidTr="009C4EDE">
        <w:tc>
          <w:tcPr>
            <w:tcW w:w="939" w:type="dxa"/>
            <w:tcBorders>
              <w:top w:val="single" w:sz="6" w:space="0" w:color="000080"/>
              <w:left w:val="single" w:sz="6" w:space="0" w:color="000080"/>
              <w:bottom w:val="single" w:sz="6" w:space="0" w:color="000080"/>
              <w:right w:val="single" w:sz="6" w:space="0" w:color="000080"/>
            </w:tcBorders>
            <w:hideMark/>
          </w:tcPr>
          <w:p w14:paraId="4E160BCD" w14:textId="77777777" w:rsidR="003B3BC1" w:rsidRDefault="003B3BC1">
            <w:pPr>
              <w:spacing w:after="0"/>
            </w:pPr>
            <w:r>
              <w:t>1.00</w:t>
            </w:r>
          </w:p>
        </w:tc>
        <w:tc>
          <w:tcPr>
            <w:tcW w:w="1540" w:type="dxa"/>
            <w:tcBorders>
              <w:top w:val="single" w:sz="6" w:space="0" w:color="000080"/>
              <w:left w:val="single" w:sz="6" w:space="0" w:color="000080"/>
              <w:bottom w:val="single" w:sz="6" w:space="0" w:color="000080"/>
              <w:right w:val="single" w:sz="6" w:space="0" w:color="000080"/>
            </w:tcBorders>
            <w:hideMark/>
          </w:tcPr>
          <w:p w14:paraId="3ECF97C2" w14:textId="7E107467" w:rsidR="003B3BC1" w:rsidRDefault="003B3BC1">
            <w:pPr>
              <w:spacing w:after="0"/>
            </w:pPr>
            <w:r>
              <w:t>20</w:t>
            </w:r>
            <w:r w:rsidR="00262FF1">
              <w:t>23</w:t>
            </w:r>
            <w:r>
              <w:t>-06-27</w:t>
            </w:r>
          </w:p>
        </w:tc>
        <w:tc>
          <w:tcPr>
            <w:tcW w:w="4510" w:type="dxa"/>
            <w:tcBorders>
              <w:top w:val="single" w:sz="6" w:space="0" w:color="000080"/>
              <w:left w:val="single" w:sz="6" w:space="0" w:color="000080"/>
              <w:bottom w:val="single" w:sz="6" w:space="0" w:color="000080"/>
              <w:right w:val="single" w:sz="6" w:space="0" w:color="000080"/>
            </w:tcBorders>
            <w:hideMark/>
          </w:tcPr>
          <w:p w14:paraId="3CFDB09D" w14:textId="77777777" w:rsidR="003B3BC1" w:rsidRDefault="003B3BC1">
            <w:pPr>
              <w:spacing w:after="0"/>
            </w:pPr>
            <w:r>
              <w:t>Utworzenie szablonu</w:t>
            </w:r>
          </w:p>
        </w:tc>
        <w:tc>
          <w:tcPr>
            <w:tcW w:w="2067" w:type="dxa"/>
            <w:tcBorders>
              <w:top w:val="single" w:sz="6" w:space="0" w:color="000080"/>
              <w:left w:val="single" w:sz="6" w:space="0" w:color="000080"/>
              <w:bottom w:val="single" w:sz="6" w:space="0" w:color="000080"/>
              <w:right w:val="single" w:sz="6" w:space="0" w:color="000080"/>
            </w:tcBorders>
          </w:tcPr>
          <w:p w14:paraId="07C3158F" w14:textId="77777777" w:rsidR="003B3BC1" w:rsidRDefault="003B3BC1">
            <w:pPr>
              <w:spacing w:after="0"/>
            </w:pPr>
          </w:p>
          <w:p w14:paraId="6B6D4748" w14:textId="3AC97368" w:rsidR="005D0324" w:rsidRDefault="005D0324">
            <w:pPr>
              <w:spacing w:after="0"/>
            </w:pPr>
          </w:p>
        </w:tc>
      </w:tr>
      <w:tr w:rsidR="00420AF1" w14:paraId="6F00292C" w14:textId="77777777" w:rsidTr="00420AF1">
        <w:tc>
          <w:tcPr>
            <w:tcW w:w="939" w:type="dxa"/>
            <w:tcBorders>
              <w:top w:val="single" w:sz="6" w:space="0" w:color="000080"/>
              <w:left w:val="single" w:sz="6" w:space="0" w:color="000080"/>
              <w:bottom w:val="single" w:sz="6" w:space="0" w:color="000080"/>
              <w:right w:val="single" w:sz="6" w:space="0" w:color="000080"/>
            </w:tcBorders>
          </w:tcPr>
          <w:p w14:paraId="73FF8843" w14:textId="18DCD1AF" w:rsidR="00420AF1" w:rsidRDefault="00420AF1">
            <w:pPr>
              <w:spacing w:after="0"/>
            </w:pPr>
            <w:r>
              <w:t>1.01</w:t>
            </w:r>
          </w:p>
        </w:tc>
        <w:tc>
          <w:tcPr>
            <w:tcW w:w="1540" w:type="dxa"/>
            <w:tcBorders>
              <w:top w:val="single" w:sz="6" w:space="0" w:color="000080"/>
              <w:left w:val="single" w:sz="6" w:space="0" w:color="000080"/>
              <w:bottom w:val="single" w:sz="6" w:space="0" w:color="000080"/>
              <w:right w:val="single" w:sz="6" w:space="0" w:color="000080"/>
            </w:tcBorders>
          </w:tcPr>
          <w:p w14:paraId="2D1B6C40" w14:textId="5F7A813E" w:rsidR="00420AF1" w:rsidRDefault="00420AF1">
            <w:pPr>
              <w:spacing w:after="0"/>
            </w:pPr>
            <w:r>
              <w:t>2023-10-16</w:t>
            </w:r>
          </w:p>
        </w:tc>
        <w:tc>
          <w:tcPr>
            <w:tcW w:w="4510" w:type="dxa"/>
            <w:tcBorders>
              <w:top w:val="single" w:sz="6" w:space="0" w:color="000080"/>
              <w:left w:val="single" w:sz="6" w:space="0" w:color="000080"/>
              <w:bottom w:val="single" w:sz="6" w:space="0" w:color="000080"/>
              <w:right w:val="single" w:sz="6" w:space="0" w:color="000080"/>
            </w:tcBorders>
          </w:tcPr>
          <w:p w14:paraId="10149B1C" w14:textId="3B17E000" w:rsidR="00420AF1" w:rsidRDefault="00420AF1">
            <w:pPr>
              <w:spacing w:after="0"/>
            </w:pPr>
            <w:r>
              <w:t>Wersja inicjalna</w:t>
            </w:r>
          </w:p>
        </w:tc>
        <w:tc>
          <w:tcPr>
            <w:tcW w:w="2067" w:type="dxa"/>
            <w:tcBorders>
              <w:top w:val="single" w:sz="6" w:space="0" w:color="000080"/>
              <w:left w:val="single" w:sz="6" w:space="0" w:color="000080"/>
              <w:bottom w:val="single" w:sz="6" w:space="0" w:color="000080"/>
              <w:right w:val="single" w:sz="6" w:space="0" w:color="000080"/>
            </w:tcBorders>
          </w:tcPr>
          <w:p w14:paraId="018F3C12" w14:textId="7D8F39F1" w:rsidR="00420AF1" w:rsidRDefault="00420AF1">
            <w:pPr>
              <w:spacing w:after="0"/>
            </w:pPr>
          </w:p>
        </w:tc>
      </w:tr>
      <w:tr w:rsidR="00D75F98" w14:paraId="67675528" w14:textId="77777777" w:rsidTr="00420AF1">
        <w:tc>
          <w:tcPr>
            <w:tcW w:w="939" w:type="dxa"/>
            <w:tcBorders>
              <w:top w:val="single" w:sz="6" w:space="0" w:color="000080"/>
              <w:left w:val="single" w:sz="6" w:space="0" w:color="000080"/>
              <w:bottom w:val="single" w:sz="6" w:space="0" w:color="000080"/>
              <w:right w:val="single" w:sz="6" w:space="0" w:color="000080"/>
            </w:tcBorders>
          </w:tcPr>
          <w:p w14:paraId="48AF9AF4" w14:textId="5286366F" w:rsidR="00D75F98" w:rsidRDefault="00D75F98">
            <w:pPr>
              <w:spacing w:after="0"/>
            </w:pPr>
            <w:r>
              <w:t>1.02</w:t>
            </w:r>
          </w:p>
        </w:tc>
        <w:tc>
          <w:tcPr>
            <w:tcW w:w="1540" w:type="dxa"/>
            <w:tcBorders>
              <w:top w:val="single" w:sz="6" w:space="0" w:color="000080"/>
              <w:left w:val="single" w:sz="6" w:space="0" w:color="000080"/>
              <w:bottom w:val="single" w:sz="6" w:space="0" w:color="000080"/>
              <w:right w:val="single" w:sz="6" w:space="0" w:color="000080"/>
            </w:tcBorders>
          </w:tcPr>
          <w:p w14:paraId="13D851C5" w14:textId="666E6A8E" w:rsidR="00D75F98" w:rsidRDefault="00E75C2D">
            <w:pPr>
              <w:spacing w:after="0"/>
            </w:pPr>
            <w:r>
              <w:t>2025-06-04</w:t>
            </w:r>
          </w:p>
        </w:tc>
        <w:tc>
          <w:tcPr>
            <w:tcW w:w="4510" w:type="dxa"/>
            <w:tcBorders>
              <w:top w:val="single" w:sz="6" w:space="0" w:color="000080"/>
              <w:left w:val="single" w:sz="6" w:space="0" w:color="000080"/>
              <w:bottom w:val="single" w:sz="6" w:space="0" w:color="000080"/>
              <w:right w:val="single" w:sz="6" w:space="0" w:color="000080"/>
            </w:tcBorders>
          </w:tcPr>
          <w:p w14:paraId="6CC59ED9" w14:textId="169B5323" w:rsidR="00D75F98" w:rsidRDefault="00E75C2D">
            <w:pPr>
              <w:spacing w:after="0"/>
            </w:pPr>
            <w:r>
              <w:t>Wersja po korekcie</w:t>
            </w:r>
          </w:p>
        </w:tc>
        <w:tc>
          <w:tcPr>
            <w:tcW w:w="2067" w:type="dxa"/>
            <w:tcBorders>
              <w:top w:val="single" w:sz="6" w:space="0" w:color="000080"/>
              <w:left w:val="single" w:sz="6" w:space="0" w:color="000080"/>
              <w:bottom w:val="single" w:sz="6" w:space="0" w:color="000080"/>
              <w:right w:val="single" w:sz="6" w:space="0" w:color="000080"/>
            </w:tcBorders>
          </w:tcPr>
          <w:p w14:paraId="746BD215" w14:textId="7AAECFC1" w:rsidR="00D75F98" w:rsidRDefault="00D75F98">
            <w:pPr>
              <w:spacing w:after="0"/>
            </w:pPr>
          </w:p>
        </w:tc>
      </w:tr>
    </w:tbl>
    <w:p w14:paraId="6BF32290" w14:textId="3A67652B" w:rsidR="003B3BC1" w:rsidRDefault="003B3BC1"/>
    <w:p w14:paraId="7B93089C" w14:textId="5279A25C" w:rsidR="00F26C3D" w:rsidRDefault="003B3BC1">
      <w:pPr>
        <w:spacing w:line="259" w:lineRule="auto"/>
      </w:pPr>
      <w:r>
        <w:br w:type="page"/>
      </w:r>
    </w:p>
    <w:sdt>
      <w:sdtPr>
        <w:rPr>
          <w:rFonts w:asciiTheme="minorHAnsi" w:eastAsiaTheme="minorHAnsi" w:hAnsiTheme="minorHAnsi" w:cstheme="minorBidi"/>
          <w:color w:val="auto"/>
          <w:kern w:val="2"/>
          <w:sz w:val="22"/>
          <w:szCs w:val="22"/>
          <w:lang w:eastAsia="en-US"/>
        </w:rPr>
        <w:id w:val="-1229060127"/>
        <w:docPartObj>
          <w:docPartGallery w:val="Table of Contents"/>
          <w:docPartUnique/>
        </w:docPartObj>
      </w:sdtPr>
      <w:sdtEndPr>
        <w:rPr>
          <w:b/>
          <w:bCs/>
        </w:rPr>
      </w:sdtEndPr>
      <w:sdtContent>
        <w:p w14:paraId="52BE47F9" w14:textId="51739D20" w:rsidR="00F26C3D" w:rsidRDefault="00F26C3D">
          <w:pPr>
            <w:pStyle w:val="Nagwekspisutreci"/>
          </w:pPr>
          <w:r>
            <w:t>Spis treści</w:t>
          </w:r>
        </w:p>
        <w:p w14:paraId="007D03F9" w14:textId="66FA489C" w:rsidR="00204D15" w:rsidRDefault="00F26C3D">
          <w:pPr>
            <w:pStyle w:val="Spistreci1"/>
            <w:tabs>
              <w:tab w:val="left" w:pos="440"/>
              <w:tab w:val="right" w:leader="dot" w:pos="9062"/>
            </w:tabs>
            <w:rPr>
              <w:rFonts w:eastAsiaTheme="minorEastAsia"/>
              <w:noProof/>
              <w:lang w:eastAsia="pl-PL"/>
            </w:rPr>
          </w:pPr>
          <w:r>
            <w:fldChar w:fldCharType="begin"/>
          </w:r>
          <w:r>
            <w:instrText xml:space="preserve"> TOC \o "1-3" \h \z \u </w:instrText>
          </w:r>
          <w:r>
            <w:fldChar w:fldCharType="separate"/>
          </w:r>
          <w:hyperlink w:anchor="_Toc148381058" w:history="1">
            <w:r w:rsidR="00204D15" w:rsidRPr="00CD61E1">
              <w:rPr>
                <w:rStyle w:val="Hipercze"/>
                <w:noProof/>
              </w:rPr>
              <w:t>1.</w:t>
            </w:r>
            <w:r w:rsidR="00204D15">
              <w:rPr>
                <w:rFonts w:eastAsiaTheme="minorEastAsia"/>
                <w:noProof/>
                <w:lang w:eastAsia="pl-PL"/>
              </w:rPr>
              <w:tab/>
            </w:r>
            <w:r w:rsidR="00204D15" w:rsidRPr="00CD61E1">
              <w:rPr>
                <w:rStyle w:val="Hipercze"/>
                <w:noProof/>
              </w:rPr>
              <w:t>Wykaz skrótów i terminów</w:t>
            </w:r>
            <w:r w:rsidR="00204D15">
              <w:rPr>
                <w:noProof/>
                <w:webHidden/>
              </w:rPr>
              <w:tab/>
            </w:r>
            <w:r w:rsidR="00204D15">
              <w:rPr>
                <w:noProof/>
                <w:webHidden/>
              </w:rPr>
              <w:fldChar w:fldCharType="begin"/>
            </w:r>
            <w:r w:rsidR="00204D15">
              <w:rPr>
                <w:noProof/>
                <w:webHidden/>
              </w:rPr>
              <w:instrText xml:space="preserve"> PAGEREF _Toc148381058 \h </w:instrText>
            </w:r>
            <w:r w:rsidR="00204D15">
              <w:rPr>
                <w:noProof/>
                <w:webHidden/>
              </w:rPr>
            </w:r>
            <w:r w:rsidR="00204D15">
              <w:rPr>
                <w:noProof/>
                <w:webHidden/>
              </w:rPr>
              <w:fldChar w:fldCharType="separate"/>
            </w:r>
            <w:r w:rsidR="00204D15">
              <w:rPr>
                <w:noProof/>
                <w:webHidden/>
              </w:rPr>
              <w:t>4</w:t>
            </w:r>
            <w:r w:rsidR="00204D15">
              <w:rPr>
                <w:noProof/>
                <w:webHidden/>
              </w:rPr>
              <w:fldChar w:fldCharType="end"/>
            </w:r>
          </w:hyperlink>
        </w:p>
        <w:p w14:paraId="570E0BA5" w14:textId="17133190" w:rsidR="00204D15" w:rsidRDefault="00204D15">
          <w:pPr>
            <w:pStyle w:val="Spistreci1"/>
            <w:tabs>
              <w:tab w:val="left" w:pos="440"/>
              <w:tab w:val="right" w:leader="dot" w:pos="9062"/>
            </w:tabs>
            <w:rPr>
              <w:rFonts w:eastAsiaTheme="minorEastAsia"/>
              <w:noProof/>
              <w:lang w:eastAsia="pl-PL"/>
            </w:rPr>
          </w:pPr>
          <w:hyperlink w:anchor="_Toc148381059" w:history="1">
            <w:r w:rsidRPr="00CD61E1">
              <w:rPr>
                <w:rStyle w:val="Hipercze"/>
                <w:noProof/>
              </w:rPr>
              <w:t>2.</w:t>
            </w:r>
            <w:r>
              <w:rPr>
                <w:rFonts w:eastAsiaTheme="minorEastAsia"/>
                <w:noProof/>
                <w:lang w:eastAsia="pl-PL"/>
              </w:rPr>
              <w:tab/>
            </w:r>
            <w:r w:rsidRPr="00CD61E1">
              <w:rPr>
                <w:rStyle w:val="Hipercze"/>
                <w:noProof/>
              </w:rPr>
              <w:t>Ogólny opis systemu</w:t>
            </w:r>
            <w:r>
              <w:rPr>
                <w:noProof/>
                <w:webHidden/>
              </w:rPr>
              <w:tab/>
            </w:r>
            <w:r>
              <w:rPr>
                <w:noProof/>
                <w:webHidden/>
              </w:rPr>
              <w:fldChar w:fldCharType="begin"/>
            </w:r>
            <w:r>
              <w:rPr>
                <w:noProof/>
                <w:webHidden/>
              </w:rPr>
              <w:instrText xml:space="preserve"> PAGEREF _Toc148381059 \h </w:instrText>
            </w:r>
            <w:r>
              <w:rPr>
                <w:noProof/>
                <w:webHidden/>
              </w:rPr>
            </w:r>
            <w:r>
              <w:rPr>
                <w:noProof/>
                <w:webHidden/>
              </w:rPr>
              <w:fldChar w:fldCharType="separate"/>
            </w:r>
            <w:r>
              <w:rPr>
                <w:noProof/>
                <w:webHidden/>
              </w:rPr>
              <w:t>6</w:t>
            </w:r>
            <w:r>
              <w:rPr>
                <w:noProof/>
                <w:webHidden/>
              </w:rPr>
              <w:fldChar w:fldCharType="end"/>
            </w:r>
          </w:hyperlink>
        </w:p>
        <w:p w14:paraId="50E1AEE1" w14:textId="4CCBAC7F" w:rsidR="00204D15" w:rsidRDefault="00204D15">
          <w:pPr>
            <w:pStyle w:val="Spistreci1"/>
            <w:tabs>
              <w:tab w:val="left" w:pos="440"/>
              <w:tab w:val="right" w:leader="dot" w:pos="9062"/>
            </w:tabs>
            <w:rPr>
              <w:rFonts w:eastAsiaTheme="minorEastAsia"/>
              <w:noProof/>
              <w:lang w:eastAsia="pl-PL"/>
            </w:rPr>
          </w:pPr>
          <w:hyperlink w:anchor="_Toc148381060" w:history="1">
            <w:r w:rsidRPr="00CD61E1">
              <w:rPr>
                <w:rStyle w:val="Hipercze"/>
                <w:noProof/>
              </w:rPr>
              <w:t>3.</w:t>
            </w:r>
            <w:r>
              <w:rPr>
                <w:rFonts w:eastAsiaTheme="minorEastAsia"/>
                <w:noProof/>
                <w:lang w:eastAsia="pl-PL"/>
              </w:rPr>
              <w:tab/>
            </w:r>
            <w:r w:rsidRPr="00CD61E1">
              <w:rPr>
                <w:rStyle w:val="Hipercze"/>
                <w:noProof/>
              </w:rPr>
              <w:t>Zakres i cel opracowania</w:t>
            </w:r>
            <w:r>
              <w:rPr>
                <w:noProof/>
                <w:webHidden/>
              </w:rPr>
              <w:tab/>
            </w:r>
            <w:r>
              <w:rPr>
                <w:noProof/>
                <w:webHidden/>
              </w:rPr>
              <w:fldChar w:fldCharType="begin"/>
            </w:r>
            <w:r>
              <w:rPr>
                <w:noProof/>
                <w:webHidden/>
              </w:rPr>
              <w:instrText xml:space="preserve"> PAGEREF _Toc148381060 \h </w:instrText>
            </w:r>
            <w:r>
              <w:rPr>
                <w:noProof/>
                <w:webHidden/>
              </w:rPr>
            </w:r>
            <w:r>
              <w:rPr>
                <w:noProof/>
                <w:webHidden/>
              </w:rPr>
              <w:fldChar w:fldCharType="separate"/>
            </w:r>
            <w:r>
              <w:rPr>
                <w:noProof/>
                <w:webHidden/>
              </w:rPr>
              <w:t>7</w:t>
            </w:r>
            <w:r>
              <w:rPr>
                <w:noProof/>
                <w:webHidden/>
              </w:rPr>
              <w:fldChar w:fldCharType="end"/>
            </w:r>
          </w:hyperlink>
        </w:p>
        <w:p w14:paraId="7CFECF4B" w14:textId="4A865A32" w:rsidR="00204D15" w:rsidRDefault="00204D15">
          <w:pPr>
            <w:pStyle w:val="Spistreci1"/>
            <w:tabs>
              <w:tab w:val="left" w:pos="440"/>
              <w:tab w:val="right" w:leader="dot" w:pos="9062"/>
            </w:tabs>
            <w:rPr>
              <w:rFonts w:eastAsiaTheme="minorEastAsia"/>
              <w:noProof/>
              <w:lang w:eastAsia="pl-PL"/>
            </w:rPr>
          </w:pPr>
          <w:hyperlink w:anchor="_Toc148381061" w:history="1">
            <w:r w:rsidRPr="00CD61E1">
              <w:rPr>
                <w:rStyle w:val="Hipercze"/>
                <w:noProof/>
              </w:rPr>
              <w:t>4.</w:t>
            </w:r>
            <w:r>
              <w:rPr>
                <w:rFonts w:eastAsiaTheme="minorEastAsia"/>
                <w:noProof/>
                <w:lang w:eastAsia="pl-PL"/>
              </w:rPr>
              <w:tab/>
            </w:r>
            <w:r w:rsidRPr="00CD61E1">
              <w:rPr>
                <w:rStyle w:val="Hipercze"/>
                <w:noProof/>
              </w:rPr>
              <w:t>Opis API</w:t>
            </w:r>
            <w:r>
              <w:rPr>
                <w:noProof/>
                <w:webHidden/>
              </w:rPr>
              <w:tab/>
            </w:r>
            <w:r>
              <w:rPr>
                <w:noProof/>
                <w:webHidden/>
              </w:rPr>
              <w:fldChar w:fldCharType="begin"/>
            </w:r>
            <w:r>
              <w:rPr>
                <w:noProof/>
                <w:webHidden/>
              </w:rPr>
              <w:instrText xml:space="preserve"> PAGEREF _Toc148381061 \h </w:instrText>
            </w:r>
            <w:r>
              <w:rPr>
                <w:noProof/>
                <w:webHidden/>
              </w:rPr>
            </w:r>
            <w:r>
              <w:rPr>
                <w:noProof/>
                <w:webHidden/>
              </w:rPr>
              <w:fldChar w:fldCharType="separate"/>
            </w:r>
            <w:r>
              <w:rPr>
                <w:noProof/>
                <w:webHidden/>
              </w:rPr>
              <w:t>8</w:t>
            </w:r>
            <w:r>
              <w:rPr>
                <w:noProof/>
                <w:webHidden/>
              </w:rPr>
              <w:fldChar w:fldCharType="end"/>
            </w:r>
          </w:hyperlink>
        </w:p>
        <w:p w14:paraId="56635D1E" w14:textId="649441C4" w:rsidR="00204D15" w:rsidRDefault="00204D15">
          <w:pPr>
            <w:pStyle w:val="Spistreci2"/>
            <w:tabs>
              <w:tab w:val="right" w:leader="dot" w:pos="9062"/>
            </w:tabs>
            <w:rPr>
              <w:rFonts w:eastAsiaTheme="minorEastAsia"/>
              <w:noProof/>
              <w:lang w:eastAsia="pl-PL"/>
            </w:rPr>
          </w:pPr>
          <w:hyperlink w:anchor="_Toc148381062" w:history="1">
            <w:r w:rsidRPr="00CD61E1">
              <w:rPr>
                <w:rStyle w:val="Hipercze"/>
                <w:noProof/>
              </w:rPr>
              <w:t>5.1 Kluczowe założenia integracji</w:t>
            </w:r>
            <w:r>
              <w:rPr>
                <w:noProof/>
                <w:webHidden/>
              </w:rPr>
              <w:tab/>
            </w:r>
            <w:r>
              <w:rPr>
                <w:noProof/>
                <w:webHidden/>
              </w:rPr>
              <w:fldChar w:fldCharType="begin"/>
            </w:r>
            <w:r>
              <w:rPr>
                <w:noProof/>
                <w:webHidden/>
              </w:rPr>
              <w:instrText xml:space="preserve"> PAGEREF _Toc148381062 \h </w:instrText>
            </w:r>
            <w:r>
              <w:rPr>
                <w:noProof/>
                <w:webHidden/>
              </w:rPr>
            </w:r>
            <w:r>
              <w:rPr>
                <w:noProof/>
                <w:webHidden/>
              </w:rPr>
              <w:fldChar w:fldCharType="separate"/>
            </w:r>
            <w:r>
              <w:rPr>
                <w:noProof/>
                <w:webHidden/>
              </w:rPr>
              <w:t>8</w:t>
            </w:r>
            <w:r>
              <w:rPr>
                <w:noProof/>
                <w:webHidden/>
              </w:rPr>
              <w:fldChar w:fldCharType="end"/>
            </w:r>
          </w:hyperlink>
        </w:p>
        <w:p w14:paraId="3CF81EE4" w14:textId="41C7F703" w:rsidR="00204D15" w:rsidRDefault="00204D15">
          <w:pPr>
            <w:pStyle w:val="Spistreci2"/>
            <w:tabs>
              <w:tab w:val="right" w:leader="dot" w:pos="9062"/>
            </w:tabs>
            <w:rPr>
              <w:rFonts w:eastAsiaTheme="minorEastAsia"/>
              <w:noProof/>
              <w:lang w:eastAsia="pl-PL"/>
            </w:rPr>
          </w:pPr>
          <w:hyperlink w:anchor="_Toc148381063" w:history="1">
            <w:r w:rsidRPr="00CD61E1">
              <w:rPr>
                <w:rStyle w:val="Hipercze"/>
                <w:noProof/>
              </w:rPr>
              <w:t>5.2 Zakres funkcjonalny API Transport GZM oraz API AOZ</w:t>
            </w:r>
            <w:r>
              <w:rPr>
                <w:noProof/>
                <w:webHidden/>
              </w:rPr>
              <w:tab/>
            </w:r>
            <w:r>
              <w:rPr>
                <w:noProof/>
                <w:webHidden/>
              </w:rPr>
              <w:fldChar w:fldCharType="begin"/>
            </w:r>
            <w:r>
              <w:rPr>
                <w:noProof/>
                <w:webHidden/>
              </w:rPr>
              <w:instrText xml:space="preserve"> PAGEREF _Toc148381063 \h </w:instrText>
            </w:r>
            <w:r>
              <w:rPr>
                <w:noProof/>
                <w:webHidden/>
              </w:rPr>
            </w:r>
            <w:r>
              <w:rPr>
                <w:noProof/>
                <w:webHidden/>
              </w:rPr>
              <w:fldChar w:fldCharType="separate"/>
            </w:r>
            <w:r>
              <w:rPr>
                <w:noProof/>
                <w:webHidden/>
              </w:rPr>
              <w:t>8</w:t>
            </w:r>
            <w:r>
              <w:rPr>
                <w:noProof/>
                <w:webHidden/>
              </w:rPr>
              <w:fldChar w:fldCharType="end"/>
            </w:r>
          </w:hyperlink>
        </w:p>
        <w:p w14:paraId="15C5E640" w14:textId="2EE38E32" w:rsidR="00204D15" w:rsidRDefault="00204D15">
          <w:pPr>
            <w:pStyle w:val="Spistreci1"/>
            <w:tabs>
              <w:tab w:val="left" w:pos="440"/>
              <w:tab w:val="right" w:leader="dot" w:pos="9062"/>
            </w:tabs>
            <w:rPr>
              <w:rFonts w:eastAsiaTheme="minorEastAsia"/>
              <w:noProof/>
              <w:lang w:eastAsia="pl-PL"/>
            </w:rPr>
          </w:pPr>
          <w:hyperlink w:anchor="_Toc148381064" w:history="1">
            <w:r w:rsidRPr="00CD61E1">
              <w:rPr>
                <w:rStyle w:val="Hipercze"/>
                <w:noProof/>
              </w:rPr>
              <w:t>5.</w:t>
            </w:r>
            <w:r>
              <w:rPr>
                <w:rFonts w:eastAsiaTheme="minorEastAsia"/>
                <w:noProof/>
                <w:lang w:eastAsia="pl-PL"/>
              </w:rPr>
              <w:tab/>
            </w:r>
            <w:r w:rsidRPr="00CD61E1">
              <w:rPr>
                <w:rStyle w:val="Hipercze"/>
                <w:noProof/>
              </w:rPr>
              <w:t>Założenia architektoniczne API systemu centralnego Transport GZM</w:t>
            </w:r>
            <w:r>
              <w:rPr>
                <w:noProof/>
                <w:webHidden/>
              </w:rPr>
              <w:tab/>
            </w:r>
            <w:r>
              <w:rPr>
                <w:noProof/>
                <w:webHidden/>
              </w:rPr>
              <w:fldChar w:fldCharType="begin"/>
            </w:r>
            <w:r>
              <w:rPr>
                <w:noProof/>
                <w:webHidden/>
              </w:rPr>
              <w:instrText xml:space="preserve"> PAGEREF _Toc148381064 \h </w:instrText>
            </w:r>
            <w:r>
              <w:rPr>
                <w:noProof/>
                <w:webHidden/>
              </w:rPr>
            </w:r>
            <w:r>
              <w:rPr>
                <w:noProof/>
                <w:webHidden/>
              </w:rPr>
              <w:fldChar w:fldCharType="separate"/>
            </w:r>
            <w:r>
              <w:rPr>
                <w:noProof/>
                <w:webHidden/>
              </w:rPr>
              <w:t>11</w:t>
            </w:r>
            <w:r>
              <w:rPr>
                <w:noProof/>
                <w:webHidden/>
              </w:rPr>
              <w:fldChar w:fldCharType="end"/>
            </w:r>
          </w:hyperlink>
        </w:p>
        <w:p w14:paraId="641EDB6C" w14:textId="63B236CD" w:rsidR="00204D15" w:rsidRDefault="00204D15">
          <w:pPr>
            <w:pStyle w:val="Spistreci1"/>
            <w:tabs>
              <w:tab w:val="left" w:pos="440"/>
              <w:tab w:val="right" w:leader="dot" w:pos="9062"/>
            </w:tabs>
            <w:rPr>
              <w:rFonts w:eastAsiaTheme="minorEastAsia"/>
              <w:noProof/>
              <w:lang w:eastAsia="pl-PL"/>
            </w:rPr>
          </w:pPr>
          <w:hyperlink w:anchor="_Toc148381065" w:history="1">
            <w:r w:rsidRPr="00CD61E1">
              <w:rPr>
                <w:rStyle w:val="Hipercze"/>
                <w:noProof/>
              </w:rPr>
              <w:t>6.</w:t>
            </w:r>
            <w:r>
              <w:rPr>
                <w:rFonts w:eastAsiaTheme="minorEastAsia"/>
                <w:noProof/>
                <w:lang w:eastAsia="pl-PL"/>
              </w:rPr>
              <w:tab/>
            </w:r>
            <w:r w:rsidRPr="00CD61E1">
              <w:rPr>
                <w:rStyle w:val="Hipercze"/>
                <w:noProof/>
              </w:rPr>
              <w:t>Wymagania techniczne urządzeń</w:t>
            </w:r>
            <w:r>
              <w:rPr>
                <w:noProof/>
                <w:webHidden/>
              </w:rPr>
              <w:tab/>
            </w:r>
            <w:r>
              <w:rPr>
                <w:noProof/>
                <w:webHidden/>
              </w:rPr>
              <w:fldChar w:fldCharType="begin"/>
            </w:r>
            <w:r>
              <w:rPr>
                <w:noProof/>
                <w:webHidden/>
              </w:rPr>
              <w:instrText xml:space="preserve"> PAGEREF _Toc148381065 \h </w:instrText>
            </w:r>
            <w:r>
              <w:rPr>
                <w:noProof/>
                <w:webHidden/>
              </w:rPr>
            </w:r>
            <w:r>
              <w:rPr>
                <w:noProof/>
                <w:webHidden/>
              </w:rPr>
              <w:fldChar w:fldCharType="separate"/>
            </w:r>
            <w:r>
              <w:rPr>
                <w:noProof/>
                <w:webHidden/>
              </w:rPr>
              <w:t>13</w:t>
            </w:r>
            <w:r>
              <w:rPr>
                <w:noProof/>
                <w:webHidden/>
              </w:rPr>
              <w:fldChar w:fldCharType="end"/>
            </w:r>
          </w:hyperlink>
        </w:p>
        <w:p w14:paraId="68DC0CAC" w14:textId="0ED4A497" w:rsidR="00F26C3D" w:rsidRDefault="00F26C3D">
          <w:r>
            <w:rPr>
              <w:b/>
              <w:bCs/>
            </w:rPr>
            <w:fldChar w:fldCharType="end"/>
          </w:r>
        </w:p>
      </w:sdtContent>
    </w:sdt>
    <w:p w14:paraId="5685C8B0" w14:textId="6570F388" w:rsidR="003B3BC1" w:rsidRDefault="00A6244E">
      <w:pPr>
        <w:spacing w:line="259" w:lineRule="auto"/>
      </w:pPr>
      <w:r>
        <w:br w:type="page"/>
      </w:r>
    </w:p>
    <w:p w14:paraId="2B3C5B5B" w14:textId="14D4F351" w:rsidR="003B3BC1" w:rsidRDefault="00A91F9E" w:rsidP="00A91F9E">
      <w:pPr>
        <w:pStyle w:val="Nagwek1"/>
        <w:numPr>
          <w:ilvl w:val="0"/>
          <w:numId w:val="2"/>
        </w:numPr>
        <w:rPr>
          <w:szCs w:val="28"/>
        </w:rPr>
      </w:pPr>
      <w:bookmarkStart w:id="0" w:name="_Toc148381058"/>
      <w:r w:rsidRPr="00A91F9E">
        <w:rPr>
          <w:szCs w:val="28"/>
        </w:rPr>
        <w:lastRenderedPageBreak/>
        <w:t>Wykaz skrótów i terminów</w:t>
      </w:r>
      <w:bookmarkEnd w:id="0"/>
      <w:r w:rsidRPr="00A91F9E">
        <w:rPr>
          <w:szCs w:val="28"/>
        </w:rPr>
        <w:t xml:space="preserve"> </w:t>
      </w:r>
    </w:p>
    <w:p w14:paraId="57D9F09B" w14:textId="77777777" w:rsidR="00A6244E" w:rsidRDefault="00A6244E" w:rsidP="00A6244E"/>
    <w:tbl>
      <w:tblPr>
        <w:tblW w:w="9067" w:type="dxa"/>
        <w:tblInd w:w="-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firstRow="1" w:lastRow="1" w:firstColumn="1" w:lastColumn="1" w:noHBand="0" w:noVBand="0"/>
      </w:tblPr>
      <w:tblGrid>
        <w:gridCol w:w="2689"/>
        <w:gridCol w:w="6378"/>
      </w:tblGrid>
      <w:tr w:rsidR="00A6244E" w14:paraId="23984DFD" w14:textId="77777777" w:rsidTr="00A6244E">
        <w:tc>
          <w:tcPr>
            <w:tcW w:w="2689" w:type="dxa"/>
            <w:tcBorders>
              <w:top w:val="single" w:sz="6" w:space="0" w:color="000080"/>
              <w:left w:val="single" w:sz="6" w:space="0" w:color="000080"/>
              <w:bottom w:val="single" w:sz="6" w:space="0" w:color="000080"/>
              <w:right w:val="single" w:sz="6" w:space="0" w:color="000080"/>
            </w:tcBorders>
          </w:tcPr>
          <w:p w14:paraId="3636AF55" w14:textId="7BA7AB01" w:rsidR="00A6244E" w:rsidRDefault="002F3DF5">
            <w:pPr>
              <w:pStyle w:val="Default"/>
              <w:spacing w:line="256" w:lineRule="auto"/>
              <w:rPr>
                <w:color w:val="auto"/>
              </w:rPr>
            </w:pPr>
            <w:r>
              <w:rPr>
                <w:color w:val="auto"/>
                <w:sz w:val="22"/>
                <w:szCs w:val="22"/>
              </w:rPr>
              <w:t>Transport GZM</w:t>
            </w:r>
            <w:r w:rsidR="00513E6E">
              <w:rPr>
                <w:color w:val="auto"/>
                <w:sz w:val="22"/>
                <w:szCs w:val="22"/>
              </w:rPr>
              <w:t>; TGZM</w:t>
            </w:r>
          </w:p>
          <w:p w14:paraId="6AF1114A" w14:textId="77777777" w:rsidR="00A6244E" w:rsidRDefault="00A6244E">
            <w:pPr>
              <w:spacing w:after="0"/>
            </w:pPr>
          </w:p>
        </w:tc>
        <w:tc>
          <w:tcPr>
            <w:tcW w:w="6378" w:type="dxa"/>
            <w:tcBorders>
              <w:top w:val="single" w:sz="6" w:space="0" w:color="000080"/>
              <w:left w:val="single" w:sz="6" w:space="0" w:color="000080"/>
              <w:bottom w:val="single" w:sz="6" w:space="0" w:color="000080"/>
              <w:right w:val="single" w:sz="6" w:space="0" w:color="000080"/>
            </w:tcBorders>
            <w:hideMark/>
          </w:tcPr>
          <w:p w14:paraId="3D3133AD" w14:textId="42360A8D" w:rsidR="00A6244E" w:rsidRDefault="00A6244E">
            <w:pPr>
              <w:pStyle w:val="Default"/>
              <w:spacing w:line="256" w:lineRule="auto"/>
              <w:rPr>
                <w:color w:val="auto"/>
              </w:rPr>
            </w:pPr>
            <w:r>
              <w:rPr>
                <w:color w:val="auto"/>
                <w:sz w:val="22"/>
                <w:szCs w:val="22"/>
              </w:rPr>
              <w:t>Zmodernizowany System Śląskiej Karty Usług Publicznych, Koncepcja i Architektura System</w:t>
            </w:r>
            <w:r w:rsidR="00EE21F1">
              <w:rPr>
                <w:color w:val="auto"/>
                <w:sz w:val="22"/>
                <w:szCs w:val="22"/>
              </w:rPr>
              <w:t>u TGZM</w:t>
            </w:r>
            <w:r>
              <w:rPr>
                <w:color w:val="auto"/>
                <w:sz w:val="22"/>
                <w:szCs w:val="22"/>
              </w:rPr>
              <w:t xml:space="preserve"> są przedmiotem niniejszego opracowania.</w:t>
            </w:r>
          </w:p>
        </w:tc>
      </w:tr>
      <w:tr w:rsidR="00A6244E" w14:paraId="79A69088" w14:textId="77777777" w:rsidTr="00A6244E">
        <w:tc>
          <w:tcPr>
            <w:tcW w:w="2689" w:type="dxa"/>
            <w:tcBorders>
              <w:top w:val="single" w:sz="6" w:space="0" w:color="000080"/>
              <w:left w:val="single" w:sz="6" w:space="0" w:color="000080"/>
              <w:bottom w:val="single" w:sz="6" w:space="0" w:color="000080"/>
              <w:right w:val="single" w:sz="6" w:space="0" w:color="000080"/>
            </w:tcBorders>
          </w:tcPr>
          <w:p w14:paraId="1F70E8DD" w14:textId="572BA337" w:rsidR="00A6244E" w:rsidRDefault="00943B7D">
            <w:pPr>
              <w:pStyle w:val="Default"/>
              <w:spacing w:line="256" w:lineRule="auto"/>
              <w:rPr>
                <w:color w:val="auto"/>
              </w:rPr>
            </w:pPr>
            <w:r>
              <w:rPr>
                <w:color w:val="auto"/>
                <w:sz w:val="22"/>
                <w:szCs w:val="22"/>
              </w:rPr>
              <w:t>Konto klienta</w:t>
            </w:r>
          </w:p>
          <w:p w14:paraId="49A22C91" w14:textId="77777777" w:rsidR="00A6244E" w:rsidRDefault="00A6244E">
            <w:pPr>
              <w:spacing w:after="0"/>
            </w:pPr>
          </w:p>
        </w:tc>
        <w:tc>
          <w:tcPr>
            <w:tcW w:w="6378" w:type="dxa"/>
            <w:tcBorders>
              <w:top w:val="single" w:sz="6" w:space="0" w:color="000080"/>
              <w:left w:val="single" w:sz="6" w:space="0" w:color="000080"/>
              <w:bottom w:val="single" w:sz="6" w:space="0" w:color="000080"/>
              <w:right w:val="single" w:sz="6" w:space="0" w:color="000080"/>
            </w:tcBorders>
            <w:hideMark/>
          </w:tcPr>
          <w:p w14:paraId="6D949F0C" w14:textId="18B575D3" w:rsidR="00A6244E" w:rsidRDefault="00A6244E">
            <w:r>
              <w:t>Konto, które zawiera wszelkie informacje na temat zakupionych usług, identyfikatorów, danych personalnych właściciela konta, zarządzane z poziomu portalu użytkownika</w:t>
            </w:r>
            <w:r w:rsidR="00EE21F1">
              <w:t>,</w:t>
            </w:r>
            <w:r>
              <w:t xml:space="preserve"> </w:t>
            </w:r>
            <w:r w:rsidR="00EE21F1">
              <w:t>a</w:t>
            </w:r>
            <w:r>
              <w:t xml:space="preserve">plikacji </w:t>
            </w:r>
            <w:r w:rsidR="00EE21F1">
              <w:t>m</w:t>
            </w:r>
            <w:r>
              <w:t>obilnej</w:t>
            </w:r>
            <w:r w:rsidR="00EE21F1">
              <w:t xml:space="preserve"> </w:t>
            </w:r>
            <w:proofErr w:type="spellStart"/>
            <w:r w:rsidR="00EE21F1">
              <w:t>Metroappka</w:t>
            </w:r>
            <w:proofErr w:type="spellEnd"/>
            <w:r w:rsidR="00EE21F1">
              <w:t xml:space="preserve">) oraz urządzeń </w:t>
            </w:r>
            <w:proofErr w:type="spellStart"/>
            <w:r w:rsidR="00EE21F1">
              <w:t>SADiS</w:t>
            </w:r>
            <w:proofErr w:type="spellEnd"/>
            <w:r>
              <w:t xml:space="preserve">. </w:t>
            </w:r>
          </w:p>
        </w:tc>
      </w:tr>
      <w:tr w:rsidR="00A6244E" w14:paraId="15297BEC"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0603B74F" w14:textId="77777777" w:rsidR="00A6244E" w:rsidRDefault="00A6244E">
            <w:pPr>
              <w:pStyle w:val="Default"/>
              <w:spacing w:line="256" w:lineRule="auto"/>
              <w:rPr>
                <w:color w:val="auto"/>
                <w:sz w:val="22"/>
                <w:szCs w:val="22"/>
              </w:rPr>
            </w:pPr>
            <w:r>
              <w:rPr>
                <w:color w:val="auto"/>
                <w:sz w:val="22"/>
                <w:szCs w:val="22"/>
              </w:rPr>
              <w:t>Instrument płatniczy</w:t>
            </w:r>
          </w:p>
        </w:tc>
        <w:tc>
          <w:tcPr>
            <w:tcW w:w="6378" w:type="dxa"/>
            <w:tcBorders>
              <w:top w:val="single" w:sz="6" w:space="0" w:color="000080"/>
              <w:left w:val="single" w:sz="6" w:space="0" w:color="000080"/>
              <w:bottom w:val="single" w:sz="6" w:space="0" w:color="000080"/>
              <w:right w:val="single" w:sz="6" w:space="0" w:color="000080"/>
            </w:tcBorders>
            <w:hideMark/>
          </w:tcPr>
          <w:p w14:paraId="579BF597" w14:textId="77777777" w:rsidR="00A6244E" w:rsidRDefault="00A6244E">
            <w:pPr>
              <w:rPr>
                <w:rFonts w:cstheme="minorHAnsi"/>
                <w:bdr w:val="none" w:sz="0" w:space="0" w:color="auto" w:frame="1"/>
              </w:rPr>
            </w:pPr>
            <w:r>
              <w:t>Uzgodniony dla Systemu zbiór procedur, wykorzystywane przez użytkownika (Klienta) do złożenia zlecenia płatniczego; Usługa oparta na instrumentach płatniczych, które można wykorzystywać jedynie w ograniczony sposób, która pozwala posiadaczowi nabywać towary lub usługi wyłącznie w ramach ograniczonej sieci podmiotów związanych umową handlową bezpośrednio z zawodowym wydawcą tych instrumentów – w kontekście niniejszego dokumentu z Operatorem Płatności. (Ustawa o usługach płatniczych art.6 ust.11).</w:t>
            </w:r>
          </w:p>
        </w:tc>
      </w:tr>
      <w:tr w:rsidR="00A6244E" w14:paraId="7E3AA6AE"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7383CCF2" w14:textId="77777777" w:rsidR="00A6244E" w:rsidRDefault="00A6244E">
            <w:pPr>
              <w:spacing w:after="0"/>
            </w:pPr>
            <w:r>
              <w:t>Rachunek płatniczy</w:t>
            </w:r>
          </w:p>
        </w:tc>
        <w:tc>
          <w:tcPr>
            <w:tcW w:w="6378" w:type="dxa"/>
            <w:tcBorders>
              <w:top w:val="single" w:sz="6" w:space="0" w:color="000080"/>
              <w:left w:val="single" w:sz="6" w:space="0" w:color="000080"/>
              <w:bottom w:val="single" w:sz="6" w:space="0" w:color="000080"/>
              <w:right w:val="single" w:sz="6" w:space="0" w:color="000080"/>
            </w:tcBorders>
            <w:hideMark/>
          </w:tcPr>
          <w:p w14:paraId="225A534E" w14:textId="77777777" w:rsidR="00A6244E" w:rsidRDefault="00A6244E">
            <w:r>
              <w:t>Rachunek prowadzony dla Pasażerów dla których zostało założone Konto Klienta, służący do wykonywania transakcji płatniczych, przy czym przez rachunek płatniczy rozumie się rachunek bankowy, który będzie służył do wykonywania transakcji płatniczych;</w:t>
            </w:r>
          </w:p>
        </w:tc>
      </w:tr>
      <w:tr w:rsidR="00A6244E" w14:paraId="7E1EBCD4"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2B196F20" w14:textId="77777777" w:rsidR="00A6244E" w:rsidRDefault="00A6244E">
            <w:pPr>
              <w:spacing w:after="0"/>
            </w:pPr>
            <w:r>
              <w:t>IPE, Elektroniczna portmonetka</w:t>
            </w:r>
          </w:p>
        </w:tc>
        <w:tc>
          <w:tcPr>
            <w:tcW w:w="6378" w:type="dxa"/>
            <w:tcBorders>
              <w:top w:val="single" w:sz="6" w:space="0" w:color="000080"/>
              <w:left w:val="single" w:sz="6" w:space="0" w:color="000080"/>
              <w:bottom w:val="single" w:sz="6" w:space="0" w:color="000080"/>
              <w:right w:val="single" w:sz="6" w:space="0" w:color="000080"/>
            </w:tcBorders>
            <w:hideMark/>
          </w:tcPr>
          <w:p w14:paraId="09C8F9AB" w14:textId="77777777" w:rsidR="00A6244E" w:rsidRDefault="00A6244E">
            <w:r>
              <w:t>Instrument płatniczy zapewniany i obsługiwany przez Operatora Płatności.</w:t>
            </w:r>
          </w:p>
        </w:tc>
      </w:tr>
      <w:tr w:rsidR="00A6244E" w14:paraId="55CF5EB3"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7C3F1B8E" w14:textId="77777777" w:rsidR="00A6244E" w:rsidRDefault="00A6244E">
            <w:pPr>
              <w:spacing w:after="0"/>
            </w:pPr>
            <w:r>
              <w:t>System Kontocentryczny</w:t>
            </w:r>
          </w:p>
        </w:tc>
        <w:tc>
          <w:tcPr>
            <w:tcW w:w="6378" w:type="dxa"/>
            <w:tcBorders>
              <w:top w:val="single" w:sz="6" w:space="0" w:color="000080"/>
              <w:left w:val="single" w:sz="6" w:space="0" w:color="000080"/>
              <w:bottom w:val="single" w:sz="6" w:space="0" w:color="000080"/>
              <w:right w:val="single" w:sz="6" w:space="0" w:color="000080"/>
            </w:tcBorders>
            <w:hideMark/>
          </w:tcPr>
          <w:p w14:paraId="1C11113F" w14:textId="77777777" w:rsidR="00A6244E" w:rsidRDefault="00A6244E">
            <w:pPr>
              <w:spacing w:after="0"/>
            </w:pPr>
            <w:r>
              <w:t>System skupiony wokół konta klienta IKU, wszelkie czynności wykonywane w systemie przez pasażera oraz związane z nim dane są wykonywane, rejestrowane i udostępniane w kontekście konta.</w:t>
            </w:r>
          </w:p>
        </w:tc>
      </w:tr>
      <w:tr w:rsidR="00A6244E" w14:paraId="31813E83"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0F70D771" w14:textId="77777777" w:rsidR="00A6244E" w:rsidRDefault="00A6244E">
            <w:pPr>
              <w:spacing w:after="0"/>
            </w:pPr>
            <w:r>
              <w:t>Identyfikator konta</w:t>
            </w:r>
          </w:p>
        </w:tc>
        <w:tc>
          <w:tcPr>
            <w:tcW w:w="6378" w:type="dxa"/>
            <w:tcBorders>
              <w:top w:val="single" w:sz="6" w:space="0" w:color="000080"/>
              <w:left w:val="single" w:sz="6" w:space="0" w:color="000080"/>
              <w:bottom w:val="single" w:sz="6" w:space="0" w:color="000080"/>
              <w:right w:val="single" w:sz="6" w:space="0" w:color="000080"/>
            </w:tcBorders>
            <w:hideMark/>
          </w:tcPr>
          <w:p w14:paraId="7705B86E" w14:textId="4F24F20F" w:rsidR="00A6244E" w:rsidRDefault="00A6244E">
            <w:pPr>
              <w:spacing w:after="0"/>
            </w:pPr>
            <w:r>
              <w:t xml:space="preserve">Artefakt jednoznacznie identyfikujący IKU w systemie </w:t>
            </w:r>
            <w:r w:rsidR="00EE21F1">
              <w:t>Transport GZM</w:t>
            </w:r>
            <w:r>
              <w:t xml:space="preserve">, to jest karta ŚKUP 1.0, </w:t>
            </w:r>
            <w:r w:rsidR="00AF6E7C">
              <w:t>Metrokarta</w:t>
            </w:r>
            <w:r>
              <w:t>, karta EMV i jej surogaty, Aplikacja Mobilna.</w:t>
            </w:r>
            <w:r w:rsidR="00EE21F1">
              <w:t xml:space="preserve"> Dla SADiS identyfikatorem pozostają karty ŚKUP 1.0 oraz Metrokarta.</w:t>
            </w:r>
          </w:p>
        </w:tc>
      </w:tr>
      <w:tr w:rsidR="00A6244E" w14:paraId="3AD4B7D9"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7342CC3C" w14:textId="77777777" w:rsidR="00A6244E" w:rsidRDefault="00A6244E">
            <w:pPr>
              <w:spacing w:after="0"/>
            </w:pPr>
            <w:r>
              <w:t>Główny użytkownik, ZTM</w:t>
            </w:r>
          </w:p>
        </w:tc>
        <w:tc>
          <w:tcPr>
            <w:tcW w:w="6378" w:type="dxa"/>
            <w:tcBorders>
              <w:top w:val="single" w:sz="6" w:space="0" w:color="000080"/>
              <w:left w:val="single" w:sz="6" w:space="0" w:color="000080"/>
              <w:bottom w:val="single" w:sz="6" w:space="0" w:color="000080"/>
              <w:right w:val="single" w:sz="6" w:space="0" w:color="000080"/>
            </w:tcBorders>
            <w:hideMark/>
          </w:tcPr>
          <w:p w14:paraId="64A220E4" w14:textId="002058D8" w:rsidR="00A6244E" w:rsidRDefault="00A6244E">
            <w:pPr>
              <w:spacing w:after="0"/>
            </w:pPr>
            <w:r>
              <w:t>Zarząd Transportu Metropolitalnego – Główny użytkownik sytemu</w:t>
            </w:r>
          </w:p>
        </w:tc>
      </w:tr>
      <w:tr w:rsidR="00A6244E" w14:paraId="263B3EDA"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0D9DE4B0" w14:textId="77777777" w:rsidR="00A6244E" w:rsidRDefault="00A6244E">
            <w:pPr>
              <w:rPr>
                <w:rFonts w:ascii="Calibri" w:eastAsia="Calibri" w:hAnsi="Calibri" w:cs="Calibri"/>
              </w:rPr>
            </w:pPr>
            <w:r>
              <w:rPr>
                <w:rFonts w:ascii="Calibri" w:eastAsia="Calibri" w:hAnsi="Calibri" w:cs="Calibri"/>
              </w:rPr>
              <w:t>Konto techniczne</w:t>
            </w:r>
          </w:p>
        </w:tc>
        <w:tc>
          <w:tcPr>
            <w:tcW w:w="6378" w:type="dxa"/>
            <w:tcBorders>
              <w:top w:val="single" w:sz="6" w:space="0" w:color="000080"/>
              <w:left w:val="single" w:sz="6" w:space="0" w:color="000080"/>
              <w:bottom w:val="single" w:sz="6" w:space="0" w:color="000080"/>
              <w:right w:val="single" w:sz="6" w:space="0" w:color="000080"/>
            </w:tcBorders>
            <w:hideMark/>
          </w:tcPr>
          <w:p w14:paraId="7D5AFA24" w14:textId="77777777" w:rsidR="00A6244E" w:rsidRDefault="00A6244E">
            <w:pPr>
              <w:rPr>
                <w:rFonts w:ascii="Calibri" w:eastAsia="Calibri" w:hAnsi="Calibri" w:cs="Calibri"/>
              </w:rPr>
            </w:pPr>
            <w:r>
              <w:rPr>
                <w:rFonts w:ascii="Calibri" w:eastAsia="Calibri" w:hAnsi="Calibri" w:cs="Calibri"/>
              </w:rPr>
              <w:t>Konto w systemie, do którego są przypinane wszystkie transakcje i operacje, które nie są realizowane w kontekście konta klienta np. zakup biletu jednorazowego przy użyciu karty EMV przez osobę, która nie posiada w systemie żadnego typu konta IKU, bilety jednorazowe papierowe kupowane w Biletomatach.</w:t>
            </w:r>
          </w:p>
        </w:tc>
      </w:tr>
      <w:tr w:rsidR="00A6244E" w14:paraId="15F9347D"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49E6E9C4" w14:textId="77777777" w:rsidR="00A6244E" w:rsidRDefault="00A6244E">
            <w:pPr>
              <w:rPr>
                <w:rFonts w:ascii="Calibri" w:eastAsia="Calibri" w:hAnsi="Calibri" w:cs="Calibri"/>
              </w:rPr>
            </w:pPr>
            <w:r>
              <w:lastRenderedPageBreak/>
              <w:t>e-Commerce</w:t>
            </w:r>
          </w:p>
        </w:tc>
        <w:tc>
          <w:tcPr>
            <w:tcW w:w="6378" w:type="dxa"/>
            <w:tcBorders>
              <w:top w:val="single" w:sz="6" w:space="0" w:color="000080"/>
              <w:left w:val="single" w:sz="6" w:space="0" w:color="000080"/>
              <w:bottom w:val="single" w:sz="6" w:space="0" w:color="000080"/>
              <w:right w:val="single" w:sz="6" w:space="0" w:color="000080"/>
            </w:tcBorders>
            <w:hideMark/>
          </w:tcPr>
          <w:p w14:paraId="3AA2E35D" w14:textId="77777777" w:rsidR="00A6244E" w:rsidRDefault="00A6244E">
            <w:pPr>
              <w:rPr>
                <w:rFonts w:ascii="Calibri" w:eastAsia="Calibri" w:hAnsi="Calibri" w:cs="Calibri"/>
              </w:rPr>
            </w:pPr>
            <w:r>
              <w:t xml:space="preserve">Usługi dostępne z poziomu Internetu wspierające sprzedaż internetową realizowaną na Portalu Klienta i w Aplikacji Mobilnej oraz SADiS i POP. </w:t>
            </w:r>
            <w:r>
              <w:br/>
              <w:t>W niniejszym dokumencie używane w kontekście płatności internetowych realizowanych za pośrednictwem dedykowanej bramki płatniczej obejmującej metody zadeklarowane przez Wykonawcę w ofercie w tym obciążenie karty EMV.</w:t>
            </w:r>
          </w:p>
        </w:tc>
      </w:tr>
      <w:tr w:rsidR="00A6244E" w14:paraId="2C1DBDE1"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145F60C0" w14:textId="77777777" w:rsidR="00A6244E" w:rsidRDefault="00A6244E">
            <w:r>
              <w:t>Walidator</w:t>
            </w:r>
          </w:p>
        </w:tc>
        <w:tc>
          <w:tcPr>
            <w:tcW w:w="6378" w:type="dxa"/>
            <w:tcBorders>
              <w:top w:val="single" w:sz="6" w:space="0" w:color="000080"/>
              <w:left w:val="single" w:sz="6" w:space="0" w:color="000080"/>
              <w:bottom w:val="single" w:sz="6" w:space="0" w:color="000080"/>
              <w:right w:val="single" w:sz="6" w:space="0" w:color="000080"/>
            </w:tcBorders>
            <w:hideMark/>
          </w:tcPr>
          <w:p w14:paraId="2A0F6837" w14:textId="77777777" w:rsidR="00A6244E" w:rsidRDefault="00A6244E">
            <w:r>
              <w:t>Urządzenie typu kasownik montowane w pojeździe służące do wnoszenia opłat za przejazd, walidacji uprawnień, sprzedaży biletów, w sposób zbliżeniowy.</w:t>
            </w:r>
          </w:p>
        </w:tc>
      </w:tr>
      <w:tr w:rsidR="00A6244E" w14:paraId="05AABEDA"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0C0A278D" w14:textId="77777777" w:rsidR="00A6244E" w:rsidRDefault="00A6244E">
            <w:r>
              <w:t>Biletomat, SADiS</w:t>
            </w:r>
          </w:p>
        </w:tc>
        <w:tc>
          <w:tcPr>
            <w:tcW w:w="6378" w:type="dxa"/>
            <w:tcBorders>
              <w:top w:val="single" w:sz="6" w:space="0" w:color="000080"/>
              <w:left w:val="single" w:sz="6" w:space="0" w:color="000080"/>
              <w:bottom w:val="single" w:sz="6" w:space="0" w:color="000080"/>
              <w:right w:val="single" w:sz="6" w:space="0" w:color="000080"/>
            </w:tcBorders>
            <w:hideMark/>
          </w:tcPr>
          <w:p w14:paraId="7C9BF248" w14:textId="77777777" w:rsidR="00A6244E" w:rsidRDefault="00A6244E">
            <w:pPr>
              <w:pStyle w:val="Default"/>
              <w:spacing w:line="256" w:lineRule="auto"/>
              <w:rPr>
                <w:color w:val="auto"/>
              </w:rPr>
            </w:pPr>
            <w:r>
              <w:rPr>
                <w:color w:val="auto"/>
                <w:sz w:val="22"/>
                <w:szCs w:val="22"/>
              </w:rPr>
              <w:t>Stacjonarny Automat Dystrybucji i Sprzedaży (automat biletowy) – stacjonarne urządzenie do automatycznej sprzedaży biletów i dystrybucji kart, zgodnie z przypisaną do niego taryfą.</w:t>
            </w:r>
          </w:p>
        </w:tc>
      </w:tr>
      <w:tr w:rsidR="00A6244E" w14:paraId="0340E7AE"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02686D11" w14:textId="77777777" w:rsidR="00A6244E" w:rsidRDefault="00A6244E">
            <w:r>
              <w:t>Partner biznesowy</w:t>
            </w:r>
          </w:p>
        </w:tc>
        <w:tc>
          <w:tcPr>
            <w:tcW w:w="6378" w:type="dxa"/>
            <w:tcBorders>
              <w:top w:val="single" w:sz="6" w:space="0" w:color="000080"/>
              <w:left w:val="single" w:sz="6" w:space="0" w:color="000080"/>
              <w:bottom w:val="single" w:sz="6" w:space="0" w:color="000080"/>
              <w:right w:val="single" w:sz="6" w:space="0" w:color="000080"/>
            </w:tcBorders>
            <w:hideMark/>
          </w:tcPr>
          <w:p w14:paraId="7B2CDDAB" w14:textId="77777777" w:rsidR="00A6244E" w:rsidRDefault="00A6244E">
            <w:pPr>
              <w:pStyle w:val="Default"/>
              <w:spacing w:line="256" w:lineRule="auto"/>
              <w:rPr>
                <w:color w:val="auto"/>
                <w:sz w:val="22"/>
                <w:szCs w:val="22"/>
              </w:rPr>
            </w:pPr>
            <w:r>
              <w:rPr>
                <w:color w:val="auto"/>
                <w:sz w:val="22"/>
                <w:szCs w:val="22"/>
              </w:rPr>
              <w:t>Podmiot definiowany w Module Administratora Biznesowego, partnerem może być Partner projektu zgodnie z definicją Modelu Rozliczeń Pieniężnych: Dostawca usług, Sprzedawca, Firma (np.: Przewoźnik), Akceptant (Zamawiający), Operator płatności.</w:t>
            </w:r>
          </w:p>
        </w:tc>
      </w:tr>
      <w:tr w:rsidR="00A6244E" w14:paraId="4605D146" w14:textId="77777777" w:rsidTr="00A6244E">
        <w:tc>
          <w:tcPr>
            <w:tcW w:w="2689" w:type="dxa"/>
            <w:tcBorders>
              <w:top w:val="single" w:sz="6" w:space="0" w:color="000080"/>
              <w:left w:val="single" w:sz="6" w:space="0" w:color="000080"/>
              <w:bottom w:val="single" w:sz="6" w:space="0" w:color="000080"/>
              <w:right w:val="single" w:sz="6" w:space="0" w:color="000080"/>
            </w:tcBorders>
            <w:hideMark/>
          </w:tcPr>
          <w:p w14:paraId="6C04C0AC" w14:textId="77777777" w:rsidR="00A6244E" w:rsidRDefault="00A6244E">
            <w:r>
              <w:t>Operator</w:t>
            </w:r>
          </w:p>
        </w:tc>
        <w:tc>
          <w:tcPr>
            <w:tcW w:w="6378" w:type="dxa"/>
            <w:tcBorders>
              <w:top w:val="single" w:sz="6" w:space="0" w:color="000080"/>
              <w:left w:val="single" w:sz="6" w:space="0" w:color="000080"/>
              <w:bottom w:val="single" w:sz="6" w:space="0" w:color="000080"/>
              <w:right w:val="single" w:sz="6" w:space="0" w:color="000080"/>
            </w:tcBorders>
            <w:hideMark/>
          </w:tcPr>
          <w:p w14:paraId="0D6064C0" w14:textId="77777777" w:rsidR="00A6244E" w:rsidRDefault="00A6244E">
            <w:pPr>
              <w:pStyle w:val="Default"/>
              <w:spacing w:line="256" w:lineRule="auto"/>
              <w:rPr>
                <w:color w:val="auto"/>
                <w:sz w:val="22"/>
                <w:szCs w:val="22"/>
              </w:rPr>
            </w:pPr>
            <w:r>
              <w:rPr>
                <w:color w:val="auto"/>
                <w:sz w:val="22"/>
                <w:szCs w:val="22"/>
              </w:rPr>
              <w:t>Osoba fizyczna, użytkownik systemu definiowany w Module Administratora Biznesowego.</w:t>
            </w:r>
          </w:p>
        </w:tc>
      </w:tr>
      <w:tr w:rsidR="00687B79" w14:paraId="7D2BA6D7" w14:textId="77777777" w:rsidTr="00A6244E">
        <w:tc>
          <w:tcPr>
            <w:tcW w:w="2689" w:type="dxa"/>
            <w:tcBorders>
              <w:top w:val="single" w:sz="6" w:space="0" w:color="000080"/>
              <w:left w:val="single" w:sz="6" w:space="0" w:color="000080"/>
              <w:bottom w:val="single" w:sz="6" w:space="0" w:color="000080"/>
              <w:right w:val="single" w:sz="6" w:space="0" w:color="000080"/>
            </w:tcBorders>
          </w:tcPr>
          <w:p w14:paraId="0D59B56C" w14:textId="03D53E7D" w:rsidR="00687B79" w:rsidRPr="00687B79" w:rsidRDefault="00687B79" w:rsidP="00687B79">
            <w:r w:rsidRPr="00687B79">
              <w:t>PORTAL</w:t>
            </w:r>
          </w:p>
        </w:tc>
        <w:tc>
          <w:tcPr>
            <w:tcW w:w="6378" w:type="dxa"/>
            <w:tcBorders>
              <w:top w:val="single" w:sz="6" w:space="0" w:color="000080"/>
              <w:left w:val="single" w:sz="6" w:space="0" w:color="000080"/>
              <w:bottom w:val="single" w:sz="6" w:space="0" w:color="000080"/>
              <w:right w:val="single" w:sz="6" w:space="0" w:color="000080"/>
            </w:tcBorders>
          </w:tcPr>
          <w:p w14:paraId="459195C6" w14:textId="26CAF3FD" w:rsidR="00687B79" w:rsidRPr="00687B79" w:rsidRDefault="00687B79" w:rsidP="00687B79">
            <w:pPr>
              <w:pStyle w:val="Default"/>
              <w:spacing w:line="256" w:lineRule="auto"/>
              <w:rPr>
                <w:color w:val="auto"/>
                <w:sz w:val="22"/>
                <w:szCs w:val="22"/>
              </w:rPr>
            </w:pPr>
            <w:r w:rsidRPr="00687B79">
              <w:rPr>
                <w:sz w:val="22"/>
                <w:szCs w:val="22"/>
              </w:rPr>
              <w:t>Portal klienta</w:t>
            </w:r>
          </w:p>
        </w:tc>
      </w:tr>
      <w:tr w:rsidR="00687B79" w14:paraId="15FF9586" w14:textId="77777777" w:rsidTr="00A6244E">
        <w:tc>
          <w:tcPr>
            <w:tcW w:w="2689" w:type="dxa"/>
            <w:tcBorders>
              <w:top w:val="single" w:sz="6" w:space="0" w:color="000080"/>
              <w:left w:val="single" w:sz="6" w:space="0" w:color="000080"/>
              <w:bottom w:val="single" w:sz="6" w:space="0" w:color="000080"/>
              <w:right w:val="single" w:sz="6" w:space="0" w:color="000080"/>
            </w:tcBorders>
          </w:tcPr>
          <w:p w14:paraId="0EAC851D" w14:textId="52FEFBB0" w:rsidR="00687B79" w:rsidRPr="00687B79" w:rsidRDefault="00687B79" w:rsidP="00687B79">
            <w:r w:rsidRPr="00687B79">
              <w:t>REST</w:t>
            </w:r>
          </w:p>
        </w:tc>
        <w:tc>
          <w:tcPr>
            <w:tcW w:w="6378" w:type="dxa"/>
            <w:tcBorders>
              <w:top w:val="single" w:sz="6" w:space="0" w:color="000080"/>
              <w:left w:val="single" w:sz="6" w:space="0" w:color="000080"/>
              <w:bottom w:val="single" w:sz="6" w:space="0" w:color="000080"/>
              <w:right w:val="single" w:sz="6" w:space="0" w:color="000080"/>
            </w:tcBorders>
          </w:tcPr>
          <w:p w14:paraId="0B7B5885" w14:textId="1B0A736B" w:rsidR="00687B79" w:rsidRPr="00687B79" w:rsidRDefault="00687B79" w:rsidP="00687B79">
            <w:pPr>
              <w:pStyle w:val="Default"/>
              <w:spacing w:line="256" w:lineRule="auto"/>
              <w:rPr>
                <w:color w:val="auto"/>
                <w:sz w:val="22"/>
                <w:szCs w:val="22"/>
              </w:rPr>
            </w:pPr>
            <w:proofErr w:type="spellStart"/>
            <w:r w:rsidRPr="00687B79">
              <w:rPr>
                <w:sz w:val="22"/>
                <w:szCs w:val="22"/>
              </w:rPr>
              <w:t>REpresentional</w:t>
            </w:r>
            <w:proofErr w:type="spellEnd"/>
            <w:r w:rsidRPr="00687B79">
              <w:rPr>
                <w:sz w:val="22"/>
                <w:szCs w:val="22"/>
              </w:rPr>
              <w:t xml:space="preserve"> </w:t>
            </w:r>
            <w:proofErr w:type="spellStart"/>
            <w:r w:rsidRPr="00687B79">
              <w:rPr>
                <w:sz w:val="22"/>
                <w:szCs w:val="22"/>
              </w:rPr>
              <w:t>State</w:t>
            </w:r>
            <w:proofErr w:type="spellEnd"/>
            <w:r w:rsidRPr="00687B79">
              <w:rPr>
                <w:sz w:val="22"/>
                <w:szCs w:val="22"/>
              </w:rPr>
              <w:t xml:space="preserve"> Transfer – styl architektoniczny przyjęty jako standard dla publikacji usług WEB.API</w:t>
            </w:r>
          </w:p>
        </w:tc>
      </w:tr>
      <w:tr w:rsidR="00687B79" w14:paraId="64266437" w14:textId="77777777" w:rsidTr="00A6244E">
        <w:tc>
          <w:tcPr>
            <w:tcW w:w="2689" w:type="dxa"/>
            <w:tcBorders>
              <w:top w:val="single" w:sz="6" w:space="0" w:color="000080"/>
              <w:left w:val="single" w:sz="6" w:space="0" w:color="000080"/>
              <w:bottom w:val="single" w:sz="6" w:space="0" w:color="000080"/>
              <w:right w:val="single" w:sz="6" w:space="0" w:color="000080"/>
            </w:tcBorders>
          </w:tcPr>
          <w:p w14:paraId="7EA4F901" w14:textId="7AFA9999" w:rsidR="00687B79" w:rsidRPr="00687B79" w:rsidRDefault="00687B79" w:rsidP="00687B79">
            <w:r w:rsidRPr="00687B79">
              <w:t>SDIP</w:t>
            </w:r>
          </w:p>
        </w:tc>
        <w:tc>
          <w:tcPr>
            <w:tcW w:w="6378" w:type="dxa"/>
            <w:tcBorders>
              <w:top w:val="single" w:sz="6" w:space="0" w:color="000080"/>
              <w:left w:val="single" w:sz="6" w:space="0" w:color="000080"/>
              <w:bottom w:val="single" w:sz="6" w:space="0" w:color="000080"/>
              <w:right w:val="single" w:sz="6" w:space="0" w:color="000080"/>
            </w:tcBorders>
          </w:tcPr>
          <w:p w14:paraId="19F19679" w14:textId="7AE37897" w:rsidR="00687B79" w:rsidRPr="00687B79" w:rsidRDefault="00687B79" w:rsidP="00687B79">
            <w:pPr>
              <w:pStyle w:val="Default"/>
              <w:spacing w:line="256" w:lineRule="auto"/>
              <w:rPr>
                <w:color w:val="auto"/>
                <w:sz w:val="22"/>
                <w:szCs w:val="22"/>
              </w:rPr>
            </w:pPr>
            <w:r w:rsidRPr="00687B79">
              <w:rPr>
                <w:sz w:val="22"/>
                <w:szCs w:val="22"/>
              </w:rPr>
              <w:t>System Dynamicznej Informacji Pasażerskiej</w:t>
            </w:r>
          </w:p>
        </w:tc>
      </w:tr>
      <w:tr w:rsidR="00687B79" w14:paraId="175EC231" w14:textId="77777777" w:rsidTr="00A6244E">
        <w:tc>
          <w:tcPr>
            <w:tcW w:w="2689" w:type="dxa"/>
            <w:tcBorders>
              <w:top w:val="single" w:sz="6" w:space="0" w:color="000080"/>
              <w:left w:val="single" w:sz="6" w:space="0" w:color="000080"/>
              <w:bottom w:val="single" w:sz="6" w:space="0" w:color="000080"/>
              <w:right w:val="single" w:sz="6" w:space="0" w:color="000080"/>
            </w:tcBorders>
          </w:tcPr>
          <w:p w14:paraId="2FDF7E07" w14:textId="5560520C" w:rsidR="00687B79" w:rsidRDefault="00AC7487">
            <w:r>
              <w:t>AOZ</w:t>
            </w:r>
          </w:p>
        </w:tc>
        <w:tc>
          <w:tcPr>
            <w:tcW w:w="6378" w:type="dxa"/>
            <w:tcBorders>
              <w:top w:val="single" w:sz="6" w:space="0" w:color="000080"/>
              <w:left w:val="single" w:sz="6" w:space="0" w:color="000080"/>
              <w:bottom w:val="single" w:sz="6" w:space="0" w:color="000080"/>
              <w:right w:val="single" w:sz="6" w:space="0" w:color="000080"/>
            </w:tcBorders>
          </w:tcPr>
          <w:p w14:paraId="2BF2A989" w14:textId="264F5F30" w:rsidR="00687B79" w:rsidRDefault="00AC7487">
            <w:pPr>
              <w:pStyle w:val="Default"/>
              <w:spacing w:line="256" w:lineRule="auto"/>
              <w:rPr>
                <w:color w:val="auto"/>
                <w:sz w:val="22"/>
                <w:szCs w:val="22"/>
              </w:rPr>
            </w:pPr>
            <w:r>
              <w:rPr>
                <w:color w:val="auto"/>
                <w:sz w:val="22"/>
                <w:szCs w:val="22"/>
              </w:rPr>
              <w:t>Aplikacja Obsługi Żądań – aplikacja do zarządzania, monitorowania oraz raportowania działa</w:t>
            </w:r>
            <w:r w:rsidR="00554007">
              <w:rPr>
                <w:color w:val="auto"/>
                <w:sz w:val="22"/>
                <w:szCs w:val="22"/>
              </w:rPr>
              <w:t>ń</w:t>
            </w:r>
            <w:r>
              <w:rPr>
                <w:color w:val="auto"/>
                <w:sz w:val="22"/>
                <w:szCs w:val="22"/>
              </w:rPr>
              <w:t xml:space="preserve"> automatów biletowych.</w:t>
            </w:r>
          </w:p>
        </w:tc>
      </w:tr>
    </w:tbl>
    <w:p w14:paraId="44EB9B06" w14:textId="36B224EB" w:rsidR="00A6244E" w:rsidRDefault="00A6244E" w:rsidP="00A6244E"/>
    <w:p w14:paraId="4DDE2258" w14:textId="12A36200" w:rsidR="00A6244E" w:rsidRPr="00554007" w:rsidRDefault="00A6244E" w:rsidP="00554007">
      <w:pPr>
        <w:spacing w:line="259" w:lineRule="auto"/>
      </w:pPr>
      <w:r>
        <w:br w:type="page"/>
      </w:r>
    </w:p>
    <w:p w14:paraId="73ED6D28" w14:textId="4A4EE7DF" w:rsidR="00E73D48" w:rsidRDefault="00E73D48" w:rsidP="00E73D48">
      <w:pPr>
        <w:pStyle w:val="Nagwek1"/>
        <w:numPr>
          <w:ilvl w:val="0"/>
          <w:numId w:val="2"/>
        </w:numPr>
      </w:pPr>
      <w:bookmarkStart w:id="1" w:name="_Toc148381059"/>
      <w:r>
        <w:lastRenderedPageBreak/>
        <w:t>Ogólny opis systemu</w:t>
      </w:r>
      <w:bookmarkEnd w:id="1"/>
    </w:p>
    <w:p w14:paraId="2AA5F0D3" w14:textId="77777777" w:rsidR="00E73D48" w:rsidRDefault="00E73D48" w:rsidP="00E73D48"/>
    <w:p w14:paraId="7101CA1D" w14:textId="0F8F6CDC" w:rsidR="00E73D48" w:rsidRDefault="00E73D48" w:rsidP="00E73D48">
      <w:pPr>
        <w:ind w:firstLine="708"/>
        <w:jc w:val="both"/>
        <w:rPr>
          <w:rFonts w:cs="Arial"/>
          <w:szCs w:val="20"/>
        </w:rPr>
      </w:pPr>
      <w:r>
        <w:rPr>
          <w:rFonts w:eastAsia="Times New Roman" w:cs="Times New Roman"/>
          <w:lang w:eastAsia="pl-PL"/>
        </w:rPr>
        <w:t xml:space="preserve">Zmodernizowany System </w:t>
      </w:r>
      <w:r w:rsidR="009F77AA">
        <w:rPr>
          <w:rFonts w:eastAsia="Times New Roman" w:cs="Times New Roman"/>
          <w:lang w:eastAsia="pl-PL"/>
        </w:rPr>
        <w:t>Transport GZM</w:t>
      </w:r>
      <w:r>
        <w:rPr>
          <w:rFonts w:eastAsia="Times New Roman" w:cs="Times New Roman"/>
          <w:lang w:eastAsia="pl-PL"/>
        </w:rPr>
        <w:t xml:space="preserve"> służy do </w:t>
      </w:r>
      <w:r>
        <w:rPr>
          <w:rFonts w:cs="Arial"/>
          <w:szCs w:val="20"/>
        </w:rPr>
        <w:t xml:space="preserve">realizacji zadań organizatora komunikacji publicznej w zakresie sprzedaży biletów i innych usług, świadczenia usług rozliczeń transakcji oraz pośredniczeniu w rozrachunku środków pochodzących z tych transakcji, zarządzania infrastrukturą w czasie zbliżonym do rzeczywistego (online), obsługą kont i identyfikatorów, którymi będą się posługiwali użytkownicy systemu w modelu </w:t>
      </w:r>
      <w:proofErr w:type="spellStart"/>
      <w:r>
        <w:rPr>
          <w:rFonts w:cs="Arial"/>
          <w:szCs w:val="20"/>
        </w:rPr>
        <w:t>kontocentrycznym</w:t>
      </w:r>
      <w:proofErr w:type="spellEnd"/>
      <w:r>
        <w:rPr>
          <w:rFonts w:cs="Arial"/>
          <w:szCs w:val="20"/>
        </w:rPr>
        <w:t xml:space="preserve">. System dostarcza zestaw nowoczesnych, elektronicznych kanałów płatności i usług dla pasażerów, ułatwiających dostęp i korzystanie z usług transportu publicznego, możliwe jest również wnoszenie opłat za przejazd z środków zgromadzonych w e-portmonetce. </w:t>
      </w:r>
    </w:p>
    <w:p w14:paraId="6CB3B797" w14:textId="4A0EA40C" w:rsidR="00E73D48" w:rsidRDefault="009F77AA" w:rsidP="60DF3747">
      <w:pPr>
        <w:jc w:val="both"/>
        <w:rPr>
          <w:rFonts w:cs="Arial"/>
        </w:rPr>
      </w:pPr>
      <w:r w:rsidRPr="60DF3747">
        <w:rPr>
          <w:rFonts w:cs="Arial"/>
        </w:rPr>
        <w:t>Transport GZM</w:t>
      </w:r>
      <w:r w:rsidR="00E73D48" w:rsidRPr="60DF3747">
        <w:rPr>
          <w:rFonts w:cs="Arial"/>
        </w:rPr>
        <w:t xml:space="preserve"> zapewnia otwartą architekturę Systemu, pozwalającą na </w:t>
      </w:r>
      <w:r w:rsidR="548CE6D5" w:rsidRPr="60DF3747">
        <w:rPr>
          <w:rFonts w:cs="Arial"/>
        </w:rPr>
        <w:t>podłączanie do</w:t>
      </w:r>
      <w:r w:rsidR="00E73D48" w:rsidRPr="60DF3747">
        <w:rPr>
          <w:rFonts w:cs="Arial"/>
        </w:rPr>
        <w:t> systemu nowych elementów infrastruktury i podmiotów, które zwrócą się do Zamawiającego o umożliwienie funkcjonowania w systemie.</w:t>
      </w:r>
    </w:p>
    <w:p w14:paraId="29C0B379" w14:textId="28F9E4FE" w:rsidR="003C6303" w:rsidRDefault="003C6303" w:rsidP="003C6303">
      <w:pPr>
        <w:spacing w:before="100" w:beforeAutospacing="1" w:after="100" w:afterAutospacing="1" w:line="240" w:lineRule="auto"/>
        <w:jc w:val="both"/>
        <w:rPr>
          <w:rFonts w:eastAsia="Times New Roman" w:cs="Times New Roman"/>
          <w:lang w:eastAsia="pl-PL"/>
        </w:rPr>
      </w:pPr>
      <w:r>
        <w:rPr>
          <w:rFonts w:eastAsia="Times New Roman" w:cs="Times New Roman"/>
          <w:lang w:eastAsia="pl-PL"/>
        </w:rPr>
        <w:t xml:space="preserve">Od strony konstrukcyjnej System składa się z usług centralnych oraz różnego typu aplikacji klienckich. Część aplikacji klienckich zapewnia kanały komunikacji pasażerów z Systemem. Taką rolę pełnią Aplikacja Mobilna, aplikacje portalu oraz aplikacje </w:t>
      </w:r>
      <w:r w:rsidR="00526C2F">
        <w:rPr>
          <w:rFonts w:eastAsia="Times New Roman" w:cs="Times New Roman"/>
          <w:lang w:eastAsia="pl-PL"/>
        </w:rPr>
        <w:t>kasowników (</w:t>
      </w:r>
      <w:proofErr w:type="spellStart"/>
      <w:r w:rsidR="00526C2F">
        <w:rPr>
          <w:rFonts w:eastAsia="Times New Roman" w:cs="Times New Roman"/>
          <w:lang w:eastAsia="pl-PL"/>
        </w:rPr>
        <w:t>walidatorów</w:t>
      </w:r>
      <w:proofErr w:type="spellEnd"/>
      <w:r w:rsidR="00526C2F">
        <w:rPr>
          <w:rFonts w:eastAsia="Times New Roman" w:cs="Times New Roman"/>
          <w:lang w:eastAsia="pl-PL"/>
        </w:rPr>
        <w:t>)</w:t>
      </w:r>
      <w:r>
        <w:rPr>
          <w:rFonts w:eastAsia="Times New Roman" w:cs="Times New Roman"/>
          <w:lang w:eastAsia="pl-PL"/>
        </w:rPr>
        <w:t xml:space="preserve"> i biletomatów. Pozostałe aplikacje klienckie wspierają operatorów systemu, zarówno na poziomie operatora systemu centralnego (konsola operatora systemu, obsługa raportowania), operatorów lokalnych (aplikacje POP, </w:t>
      </w:r>
      <w:proofErr w:type="spellStart"/>
      <w:r>
        <w:rPr>
          <w:rFonts w:eastAsia="Times New Roman" w:cs="Times New Roman"/>
          <w:lang w:eastAsia="pl-PL"/>
        </w:rPr>
        <w:t>call-center</w:t>
      </w:r>
      <w:proofErr w:type="spellEnd"/>
      <w:r>
        <w:rPr>
          <w:rFonts w:eastAsia="Times New Roman" w:cs="Times New Roman"/>
          <w:lang w:eastAsia="pl-PL"/>
        </w:rPr>
        <w:t>, dystrybucji kart) oraz operatorów urządzeń wyniesionych (kontrolerki, komputer pokładowy, terminal sprzedaży - UPOS, Biletomat).</w:t>
      </w:r>
    </w:p>
    <w:p w14:paraId="60B1FFF2" w14:textId="77777777" w:rsidR="003C6303" w:rsidRDefault="003C6303" w:rsidP="003C6303">
      <w:pPr>
        <w:spacing w:before="100" w:beforeAutospacing="1" w:after="100" w:afterAutospacing="1" w:line="240" w:lineRule="auto"/>
        <w:jc w:val="both"/>
        <w:rPr>
          <w:rFonts w:eastAsia="Times New Roman" w:cs="Times New Roman"/>
          <w:lang w:eastAsia="pl-PL"/>
        </w:rPr>
      </w:pPr>
      <w:r>
        <w:rPr>
          <w:rFonts w:eastAsia="Times New Roman" w:cs="Times New Roman"/>
          <w:lang w:eastAsia="pl-PL"/>
        </w:rPr>
        <w:t xml:space="preserve">System ma charakter kontocentryczny. Informacje o pasażerze będącym właścicielem konta oraz informacje o samych koncie klienta, zarówno w kontekście aktualnym (dostępne saldo konta, nabyte uprawnienia przejazdu itd.), jak i historycznym (historia sprzedaży, historia kontroli itp.), przechowywane są w systemie centralnym i udostępniane aplikacjom klienckim. Dane z systemu centralnego są nie tylko udostępniane, ale również dystrybuowane do aplikacji klienckich np. na potrzeby obsługi braku zasięgu sieci komórkowych – w dalszym ciągu system centralny pozostaje zarządzającym tymi danymi i podstawowym źródłem odniesienia (master danych). </w:t>
      </w:r>
    </w:p>
    <w:p w14:paraId="27B4E2B3" w14:textId="0EC8D8AB" w:rsidR="003C6303" w:rsidRDefault="003C6303" w:rsidP="003C6303">
      <w:pPr>
        <w:spacing w:before="100" w:beforeAutospacing="1" w:after="100" w:afterAutospacing="1" w:line="240" w:lineRule="auto"/>
        <w:jc w:val="both"/>
        <w:rPr>
          <w:rFonts w:eastAsia="Times New Roman" w:cs="Times New Roman"/>
          <w:lang w:eastAsia="pl-PL"/>
        </w:rPr>
      </w:pPr>
      <w:r>
        <w:rPr>
          <w:rFonts w:eastAsia="Times New Roman" w:cs="Times New Roman"/>
          <w:lang w:eastAsia="pl-PL"/>
        </w:rPr>
        <w:t xml:space="preserve">Korzystanie pasażera z Systemu zawsze odbywa się w kontekście konta klienta w systemie i wymaga jego identyfikacji. Pasażer identyfikuje się w systemie za pomocą identyfikatorów powiązanych z jego kontem klienta, bezpośrednich, takich jak login konta pasażera w portalu i w Aplikacji Mobilnej, oraz pośrednich, wykorzystywanych w interakcji z urządzeniami i w POP, w postaci karty </w:t>
      </w:r>
      <w:r w:rsidR="009F77AA">
        <w:rPr>
          <w:rFonts w:eastAsia="Times New Roman" w:cs="Times New Roman"/>
          <w:lang w:eastAsia="pl-PL"/>
        </w:rPr>
        <w:t>Metrokarty</w:t>
      </w:r>
      <w:r>
        <w:rPr>
          <w:rFonts w:eastAsia="Times New Roman" w:cs="Times New Roman"/>
          <w:lang w:eastAsia="pl-PL"/>
        </w:rPr>
        <w:t>, powiązanej z kontem klienta kartą płatniczą lub Aplikacji Mobilnej</w:t>
      </w:r>
      <w:r w:rsidR="009F77AA">
        <w:rPr>
          <w:rFonts w:eastAsia="Times New Roman" w:cs="Times New Roman"/>
          <w:lang w:eastAsia="pl-PL"/>
        </w:rPr>
        <w:t xml:space="preserve">. </w:t>
      </w:r>
    </w:p>
    <w:p w14:paraId="6169A333" w14:textId="4A0E48FE" w:rsidR="003C6303" w:rsidRDefault="003C6303" w:rsidP="0D1DAF2B">
      <w:pPr>
        <w:spacing w:before="100" w:beforeAutospacing="1" w:after="100" w:afterAutospacing="1" w:line="240" w:lineRule="auto"/>
        <w:jc w:val="both"/>
        <w:rPr>
          <w:rFonts w:eastAsia="Times New Roman" w:cs="Times New Roman"/>
          <w:lang w:eastAsia="pl-PL"/>
        </w:rPr>
      </w:pPr>
      <w:r w:rsidRPr="0D1DAF2B">
        <w:rPr>
          <w:rFonts w:eastAsia="Times New Roman" w:cs="Times New Roman"/>
          <w:lang w:eastAsia="pl-PL"/>
        </w:rPr>
        <w:t>Szczególnym przypadkiem są operacje z użyciem karty EMV nie będącej identyfikatorem konta IKU oraz zakupy biletów papierowych w Biletomatach, są one realizowane w kontekście Konta technicznego.</w:t>
      </w:r>
    </w:p>
    <w:p w14:paraId="2CA6C1E2" w14:textId="77777777" w:rsidR="003C6303" w:rsidRDefault="003C6303" w:rsidP="003C6303">
      <w:pPr>
        <w:spacing w:before="100" w:beforeAutospacing="1" w:after="100" w:afterAutospacing="1" w:line="240" w:lineRule="auto"/>
        <w:jc w:val="both"/>
        <w:rPr>
          <w:rFonts w:eastAsia="Times New Roman" w:cs="Times New Roman"/>
          <w:lang w:eastAsia="pl-PL"/>
        </w:rPr>
      </w:pPr>
      <w:r w:rsidRPr="5FB70897">
        <w:rPr>
          <w:rFonts w:eastAsia="Times New Roman" w:cs="Times New Roman"/>
          <w:lang w:eastAsia="pl-PL"/>
        </w:rPr>
        <w:t xml:space="preserve">Obsługiwana w Systemie oferta produktowa definiowana jest w części centralnej, poszczególne kanały sprzedaży obsługiwane są w aplikacjach klienckich pasażera (portal, Aplikacja Mobilna), w aplikacji APO </w:t>
      </w:r>
      <w:r w:rsidRPr="5FB70897">
        <w:rPr>
          <w:rFonts w:eastAsia="Times New Roman" w:cs="Times New Roman"/>
          <w:lang w:eastAsia="pl-PL"/>
        </w:rPr>
        <w:lastRenderedPageBreak/>
        <w:t>i w aplikacjach urządzeń (Walidatory, Biletomaty, terminale sprzedaży) z wykorzystaniem systemów partnerskich (systemy operatorów płatności MTT, EMV, e-commerce i mobilnych).</w:t>
      </w:r>
    </w:p>
    <w:p w14:paraId="1E384D7F" w14:textId="57F3A971" w:rsidR="00E73D48" w:rsidRPr="00E73D48" w:rsidRDefault="00E73D48" w:rsidP="5FB70897"/>
    <w:p w14:paraId="2B552378" w14:textId="73822F08" w:rsidR="006F59C5" w:rsidRPr="006F59C5" w:rsidRDefault="006F59C5" w:rsidP="006F59C5">
      <w:pPr>
        <w:pStyle w:val="Nagwek1"/>
        <w:numPr>
          <w:ilvl w:val="0"/>
          <w:numId w:val="2"/>
        </w:numPr>
        <w:rPr>
          <w:szCs w:val="28"/>
        </w:rPr>
      </w:pPr>
      <w:bookmarkStart w:id="2" w:name="_Toc148381060"/>
      <w:r w:rsidRPr="006F59C5">
        <w:rPr>
          <w:szCs w:val="28"/>
        </w:rPr>
        <w:t>Zakres i cel opracowania</w:t>
      </w:r>
      <w:bookmarkEnd w:id="2"/>
    </w:p>
    <w:p w14:paraId="65B61FF5" w14:textId="77777777" w:rsidR="006F59C5" w:rsidRDefault="006F59C5" w:rsidP="006F59C5"/>
    <w:p w14:paraId="4EDC04BB" w14:textId="41316166" w:rsidR="006F59C5" w:rsidRDefault="006F59C5" w:rsidP="7A82E900">
      <w:pPr>
        <w:ind w:firstLine="360"/>
        <w:jc w:val="both"/>
      </w:pPr>
      <w:r>
        <w:t xml:space="preserve">Przedmiotem niniejszego dokumentu jest przedstawienie założeń API </w:t>
      </w:r>
      <w:r w:rsidR="009F77AA">
        <w:t>TGZM</w:t>
      </w:r>
      <w:r>
        <w:t xml:space="preserve"> umożliwiającego integrację oprogramowania Stacjonarnych </w:t>
      </w:r>
      <w:r w:rsidR="00BE5F7D">
        <w:t xml:space="preserve">Automatów Dystrybucji i Sprzedaży </w:t>
      </w:r>
      <w:r>
        <w:t>(</w:t>
      </w:r>
      <w:r w:rsidR="00BE5F7D">
        <w:t>SADiS</w:t>
      </w:r>
      <w:r>
        <w:t xml:space="preserve">) z systemem </w:t>
      </w:r>
      <w:r w:rsidR="009F77AA">
        <w:t>Transport GZM</w:t>
      </w:r>
      <w:r>
        <w:t xml:space="preserve"> na takim poziomie </w:t>
      </w:r>
      <w:r w:rsidR="36BD7DC2">
        <w:t>szczegółowości,</w:t>
      </w:r>
      <w:r>
        <w:t xml:space="preserve"> aby mógł stanowić podstawę zamówienia nowego sprzętu typu SAD</w:t>
      </w:r>
      <w:r w:rsidR="33EC074D">
        <w:t>iS</w:t>
      </w:r>
      <w:r>
        <w:t xml:space="preserve"> </w:t>
      </w:r>
      <w:r w:rsidR="577D465A">
        <w:t>zintegrowanego z</w:t>
      </w:r>
      <w:r>
        <w:t> systemem.</w:t>
      </w:r>
    </w:p>
    <w:p w14:paraId="5E5255CD" w14:textId="16171CC5" w:rsidR="006F59C5" w:rsidRDefault="006F59C5" w:rsidP="7A82E900">
      <w:pPr>
        <w:ind w:firstLine="708"/>
        <w:jc w:val="both"/>
      </w:pPr>
      <w:r>
        <w:t>Specyfikacja i szczegółowa dokumentacja API jest przedmiotem odrębnego opracowania i</w:t>
      </w:r>
      <w:r w:rsidR="001E21F5">
        <w:t> </w:t>
      </w:r>
      <w:r>
        <w:t>będzie podlegać udostępnieniu podmiotowi wskazanemu przez Zamawiającego na mocy podpisanego porozumienia/umowy/</w:t>
      </w:r>
      <w:r w:rsidR="7A1CE399">
        <w:t>kontraktu,</w:t>
      </w:r>
      <w:r>
        <w:t xml:space="preserve"> w ramach którego realizowany będzie proces integracji z usługami </w:t>
      </w:r>
      <w:r w:rsidR="009F77AA">
        <w:t>TGZM</w:t>
      </w:r>
      <w:r>
        <w:t xml:space="preserve"> skutkujący również certyfikacją i dopuszczeniem do eksploatacji zintegrowanego rozwiązania.</w:t>
      </w:r>
    </w:p>
    <w:tbl>
      <w:tblPr>
        <w:tblStyle w:val="Tabela-Siatka"/>
        <w:tblW w:w="0" w:type="auto"/>
        <w:tblLook w:val="04A0" w:firstRow="1" w:lastRow="0" w:firstColumn="1" w:lastColumn="0" w:noHBand="0" w:noVBand="1"/>
      </w:tblPr>
      <w:tblGrid>
        <w:gridCol w:w="9062"/>
      </w:tblGrid>
      <w:tr w:rsidR="00D03EA9" w14:paraId="4327189E" w14:textId="77777777" w:rsidTr="00D03EA9">
        <w:tc>
          <w:tcPr>
            <w:tcW w:w="9062" w:type="dxa"/>
          </w:tcPr>
          <w:p w14:paraId="451148EA" w14:textId="3A81A936" w:rsidR="00D03EA9" w:rsidRDefault="00D03EA9" w:rsidP="7A82E900">
            <w:pPr>
              <w:jc w:val="both"/>
            </w:pPr>
            <w:r>
              <w:t xml:space="preserve">UWAGA! W przypadku gdy integracja urządzeń SADiS z systemem TGZM wymaga </w:t>
            </w:r>
            <w:r w:rsidRPr="009A5953">
              <w:t>dodat</w:t>
            </w:r>
            <w:r>
              <w:t>k</w:t>
            </w:r>
            <w:r w:rsidRPr="009A5953">
              <w:t xml:space="preserve">owych </w:t>
            </w:r>
            <w:r>
              <w:t xml:space="preserve">komponentów oprogramowania lub infrastruktury sprzętowej </w:t>
            </w:r>
            <w:r w:rsidRPr="009A5953">
              <w:t>po</w:t>
            </w:r>
            <w:r>
              <w:t>ś</w:t>
            </w:r>
            <w:r w:rsidRPr="009A5953">
              <w:t>redniczących w integracji z</w:t>
            </w:r>
            <w:r>
              <w:t> </w:t>
            </w:r>
            <w:r w:rsidRPr="009A5953">
              <w:t>systemem TGMZ</w:t>
            </w:r>
            <w:r>
              <w:t xml:space="preserve"> i niezbędnych do poprawnego działania Rozwiązania Dostawcy, całość dodatkowych komponentów musi być  </w:t>
            </w:r>
            <w:r w:rsidRPr="009A5953">
              <w:t>zapewnion</w:t>
            </w:r>
            <w:r>
              <w:t xml:space="preserve">a </w:t>
            </w:r>
            <w:r w:rsidR="00262F81">
              <w:t xml:space="preserve">i utrzymywana </w:t>
            </w:r>
            <w:r w:rsidRPr="009A5953">
              <w:t>przez Dostawcę</w:t>
            </w:r>
            <w:r>
              <w:t xml:space="preserve"> lub Zamawiającego.</w:t>
            </w:r>
          </w:p>
        </w:tc>
      </w:tr>
    </w:tbl>
    <w:p w14:paraId="3701D2C1" w14:textId="176E2CB1" w:rsidR="009A5953" w:rsidRDefault="00D03EA9" w:rsidP="7A82E900">
      <w:pPr>
        <w:ind w:firstLine="708"/>
        <w:jc w:val="both"/>
      </w:pPr>
      <w:r>
        <w:t xml:space="preserve"> </w:t>
      </w:r>
    </w:p>
    <w:p w14:paraId="15D3B7D0" w14:textId="763F5371" w:rsidR="006F59C5" w:rsidRPr="006F59C5" w:rsidRDefault="00F56A1F" w:rsidP="00F56A1F">
      <w:pPr>
        <w:spacing w:line="259" w:lineRule="auto"/>
      </w:pPr>
      <w:r>
        <w:br w:type="page"/>
      </w:r>
    </w:p>
    <w:p w14:paraId="4D564688" w14:textId="0A854ECC" w:rsidR="00687B79" w:rsidRPr="00687B79" w:rsidRDefault="00E22DA5" w:rsidP="00746AA8">
      <w:pPr>
        <w:pStyle w:val="Nagwek1"/>
        <w:numPr>
          <w:ilvl w:val="0"/>
          <w:numId w:val="2"/>
        </w:numPr>
      </w:pPr>
      <w:bookmarkStart w:id="3" w:name="_Toc148381061"/>
      <w:r>
        <w:lastRenderedPageBreak/>
        <w:t>Opis API</w:t>
      </w:r>
      <w:bookmarkEnd w:id="3"/>
      <w:r>
        <w:br/>
      </w:r>
    </w:p>
    <w:p w14:paraId="0352B8E2" w14:textId="07166821" w:rsidR="00687B79" w:rsidRDefault="1036325A" w:rsidP="0019323C">
      <w:pPr>
        <w:pStyle w:val="Nagwek2"/>
      </w:pPr>
      <w:bookmarkStart w:id="4" w:name="_Toc148381062"/>
      <w:r>
        <w:t>4</w:t>
      </w:r>
      <w:r w:rsidR="0019323C">
        <w:t xml:space="preserve">.1 </w:t>
      </w:r>
      <w:r w:rsidR="00687B79">
        <w:t>Kluczowe założenia integracji</w:t>
      </w:r>
      <w:bookmarkEnd w:id="4"/>
    </w:p>
    <w:p w14:paraId="04C8FF54" w14:textId="77777777" w:rsidR="00687B79" w:rsidRPr="00687B79" w:rsidRDefault="00687B79" w:rsidP="00687B79">
      <w:pPr>
        <w:rPr>
          <w:color w:val="2F5496" w:themeColor="accent1" w:themeShade="BF"/>
        </w:rPr>
      </w:pPr>
    </w:p>
    <w:p w14:paraId="6320E3B9" w14:textId="79493B37" w:rsidR="00687B79" w:rsidRDefault="00687B79" w:rsidP="7A82E900">
      <w:r>
        <w:t>Mechanizmy API dla</w:t>
      </w:r>
      <w:r w:rsidR="00526C2F">
        <w:t xml:space="preserve"> TGZM</w:t>
      </w:r>
      <w:r w:rsidR="00C34C55">
        <w:t xml:space="preserve"> </w:t>
      </w:r>
      <w:r>
        <w:t xml:space="preserve">umożliwiają realizację kompletu procesów biznesowych związanych </w:t>
      </w:r>
      <w:r>
        <w:br/>
        <w:t>z</w:t>
      </w:r>
      <w:r w:rsidR="5AB32AAD">
        <w:t xml:space="preserve"> </w:t>
      </w:r>
      <w:r>
        <w:t xml:space="preserve">obsługą </w:t>
      </w:r>
      <w:r w:rsidR="00943B7D">
        <w:t>Konta Klienta</w:t>
      </w:r>
      <w:r w:rsidR="00204D15">
        <w:t>, procesów sprzedażowych</w:t>
      </w:r>
      <w:r w:rsidR="00526C2F">
        <w:t xml:space="preserve"> </w:t>
      </w:r>
      <w:r w:rsidR="00204D15">
        <w:t xml:space="preserve">oraz informacyjnych </w:t>
      </w:r>
      <w:r>
        <w:t xml:space="preserve">dla Stacjonarnych Automatów </w:t>
      </w:r>
      <w:r w:rsidR="00526C2F">
        <w:t>Dystrybucji</w:t>
      </w:r>
      <w:r>
        <w:t xml:space="preserve"> </w:t>
      </w:r>
      <w:r w:rsidR="00526C2F">
        <w:t xml:space="preserve">i </w:t>
      </w:r>
      <w:r w:rsidR="2D171804">
        <w:t>Sprzedaży (</w:t>
      </w:r>
      <w:r w:rsidR="00C34C55">
        <w:t>SADiS</w:t>
      </w:r>
      <w:r>
        <w:t>)</w:t>
      </w:r>
      <w:r w:rsidR="00943B7D">
        <w:t xml:space="preserve">. </w:t>
      </w:r>
    </w:p>
    <w:p w14:paraId="7FCD0D90" w14:textId="77777777" w:rsidR="00687B79" w:rsidRDefault="00687B79" w:rsidP="7A82E900">
      <w:pPr>
        <w:jc w:val="both"/>
      </w:pPr>
    </w:p>
    <w:p w14:paraId="788E59F3" w14:textId="3170F604" w:rsidR="00687B79" w:rsidRDefault="00687B79" w:rsidP="7A82E900">
      <w:pPr>
        <w:jc w:val="both"/>
      </w:pPr>
      <w:r>
        <w:t xml:space="preserve">W uzupełnieniu obsługi procesów związanych z </w:t>
      </w:r>
      <w:r w:rsidR="00204D15">
        <w:t>Kontem klienta</w:t>
      </w:r>
      <w:r>
        <w:t xml:space="preserve">, API udostępnia mechanizmy umożliwiające integrację z oprogramowaniem monitorującym i zarządzającym siecią automatów biletowych – </w:t>
      </w:r>
      <w:r w:rsidR="00204D15">
        <w:t xml:space="preserve">API </w:t>
      </w:r>
      <w:r>
        <w:t>AOZ</w:t>
      </w:r>
      <w:r w:rsidR="00204D15">
        <w:t xml:space="preserve">. </w:t>
      </w:r>
      <w:r>
        <w:t xml:space="preserve">Aplikacja Obsługi Żądań (AOZ) </w:t>
      </w:r>
      <w:r w:rsidR="00943B7D">
        <w:t>jest</w:t>
      </w:r>
      <w:r>
        <w:t xml:space="preserve"> modułem zarządzania automatami biletowymi</w:t>
      </w:r>
      <w:r w:rsidR="00943B7D">
        <w:t xml:space="preserve">. Służy </w:t>
      </w:r>
      <w:r>
        <w:t>m.in. do definiowania parametrów pracy aplikacji SAD</w:t>
      </w:r>
      <w:r w:rsidR="00C34C55">
        <w:t>iS</w:t>
      </w:r>
      <w:r>
        <w:t xml:space="preserve">, obsługi kontraktów możliwych do zakupienia w Systemie </w:t>
      </w:r>
      <w:r w:rsidR="00526C2F">
        <w:t>TGZM</w:t>
      </w:r>
      <w:r>
        <w:t>, wglądu w zdarzenia oraz komunikaty wymagające obsługi serwisowej w urządzeniach SAD</w:t>
      </w:r>
      <w:r w:rsidR="00C34C55">
        <w:t>iS</w:t>
      </w:r>
      <w:r>
        <w:t>, zdalnego wglądu w raporty o zakupionych kontraktach i transakcjach, wykonywania zdalnych operacji na urządzeniach SAD</w:t>
      </w:r>
      <w:r w:rsidR="0019323C">
        <w:t>iS</w:t>
      </w:r>
      <w:r w:rsidR="09B3655F">
        <w:t>,</w:t>
      </w:r>
      <w:r>
        <w:t xml:space="preserve"> w tym obsługi wersji oprogramowania, dodawania i edycji operatorów uprawnionych do obsługi automatów SAD</w:t>
      </w:r>
      <w:r w:rsidR="0019323C">
        <w:t>iS</w:t>
      </w:r>
      <w:r w:rsidR="365A4E03">
        <w:t>.</w:t>
      </w:r>
      <w:r>
        <w:t xml:space="preserve"> </w:t>
      </w:r>
      <w:r w:rsidR="54E1F22F">
        <w:t>J</w:t>
      </w:r>
      <w:r>
        <w:t xml:space="preserve">est interfejsem integracyjnym dla nowo przyłączanych do systemu </w:t>
      </w:r>
      <w:r w:rsidR="0019323C">
        <w:t xml:space="preserve">biletomatów </w:t>
      </w:r>
      <w:r>
        <w:t xml:space="preserve">innych dostawców. Ponadto przygotowany interfejs </w:t>
      </w:r>
      <w:r w:rsidR="00943B7D">
        <w:t>zapewnia</w:t>
      </w:r>
      <w:r>
        <w:t xml:space="preserve"> możliwość przyłączania </w:t>
      </w:r>
      <w:r w:rsidR="0019323C">
        <w:t>biletomatów</w:t>
      </w:r>
      <w:r>
        <w:t xml:space="preserve"> z zapewnieniem funkcjonalności nie </w:t>
      </w:r>
      <w:r w:rsidR="7EF9BBC7">
        <w:t>gorszej</w:t>
      </w:r>
      <w:r>
        <w:t xml:space="preserve"> niż urządzenia tego typu użytkowane obecnie w Systemie </w:t>
      </w:r>
      <w:r w:rsidR="00943B7D">
        <w:t>Transport GZM.</w:t>
      </w:r>
    </w:p>
    <w:p w14:paraId="4442C7B5" w14:textId="77777777" w:rsidR="00687B79" w:rsidRPr="00687B79" w:rsidRDefault="00687B79" w:rsidP="00687B79">
      <w:pPr>
        <w:rPr>
          <w:color w:val="2F5496" w:themeColor="accent1" w:themeShade="BF"/>
        </w:rPr>
      </w:pPr>
    </w:p>
    <w:p w14:paraId="2686EF0B" w14:textId="4D457FF1" w:rsidR="0019323C" w:rsidRDefault="3D3AB7E4" w:rsidP="0019323C">
      <w:pPr>
        <w:pStyle w:val="Nagwek2"/>
      </w:pPr>
      <w:bookmarkStart w:id="5" w:name="_Toc148381063"/>
      <w:r>
        <w:t>4</w:t>
      </w:r>
      <w:r w:rsidR="0019323C">
        <w:t xml:space="preserve">.2 Zakres funkcjonalny API </w:t>
      </w:r>
      <w:r w:rsidR="00420AF1">
        <w:t>Transport GZM oraz API AOZ</w:t>
      </w:r>
      <w:bookmarkEnd w:id="5"/>
    </w:p>
    <w:p w14:paraId="5A4C175C" w14:textId="77777777" w:rsidR="0019323C" w:rsidRDefault="0019323C" w:rsidP="0019323C"/>
    <w:p w14:paraId="2701FBBC" w14:textId="782EAF45" w:rsidR="0019323C" w:rsidRDefault="0019323C" w:rsidP="0019323C">
      <w:r>
        <w:t xml:space="preserve">Platforma Integracyjna </w:t>
      </w:r>
      <w:r w:rsidR="00526C2F">
        <w:t>TGZM</w:t>
      </w:r>
      <w:r>
        <w:t xml:space="preserve"> udostępnia usługi i komponenty obejmujące zakresem obszary</w:t>
      </w:r>
    </w:p>
    <w:p w14:paraId="109B6527" w14:textId="760B9E9D" w:rsidR="0019323C" w:rsidRDefault="0019323C" w:rsidP="0019323C">
      <w:pPr>
        <w:pStyle w:val="Akapitzlist"/>
        <w:numPr>
          <w:ilvl w:val="0"/>
          <w:numId w:val="7"/>
        </w:numPr>
        <w:spacing w:after="200" w:line="276" w:lineRule="auto"/>
        <w:jc w:val="both"/>
      </w:pPr>
      <w:r w:rsidRPr="7A82E900">
        <w:rPr>
          <w:b/>
          <w:bCs/>
        </w:rPr>
        <w:t xml:space="preserve">API </w:t>
      </w:r>
      <w:r w:rsidR="00513E6E" w:rsidRPr="7A82E900">
        <w:rPr>
          <w:b/>
          <w:bCs/>
        </w:rPr>
        <w:t>TGZM</w:t>
      </w:r>
      <w:r w:rsidR="00943B7D">
        <w:t xml:space="preserve">; </w:t>
      </w:r>
      <w:r w:rsidR="00943B7D" w:rsidRPr="7A82E900">
        <w:rPr>
          <w:b/>
          <w:bCs/>
        </w:rPr>
        <w:t xml:space="preserve">API AOZ </w:t>
      </w:r>
      <w:r>
        <w:t>– usługi zrealizowane w formule REST API udostępnianego centralnie w oparciu o dedykowane komponenty programistyczne, udostępniane centralnie w oparciu o komponent klasy „API Gateway”</w:t>
      </w:r>
      <w:r w:rsidR="00943B7D">
        <w:t>.</w:t>
      </w:r>
      <w:r w:rsidR="00204D15">
        <w:t xml:space="preserve"> </w:t>
      </w:r>
    </w:p>
    <w:p w14:paraId="0B4E27C8" w14:textId="5FA35A57" w:rsidR="7A82E900" w:rsidRDefault="7A82E900" w:rsidP="7A82E900">
      <w:pPr>
        <w:spacing w:line="259" w:lineRule="auto"/>
        <w:rPr>
          <w:b/>
          <w:bCs/>
        </w:rPr>
      </w:pPr>
    </w:p>
    <w:p w14:paraId="3E519D9A" w14:textId="18A63588" w:rsidR="0019323C" w:rsidRDefault="0019323C" w:rsidP="7A82E900">
      <w:pPr>
        <w:spacing w:line="259" w:lineRule="auto"/>
        <w:rPr>
          <w:b/>
          <w:bCs/>
        </w:rPr>
      </w:pPr>
      <w:r w:rsidRPr="7A82E900">
        <w:rPr>
          <w:b/>
          <w:bCs/>
        </w:rPr>
        <w:t>Obszar API</w:t>
      </w:r>
      <w:r w:rsidR="00420AF1" w:rsidRPr="7A82E900">
        <w:rPr>
          <w:b/>
          <w:bCs/>
        </w:rPr>
        <w:t xml:space="preserve"> (AOZ oraz TGZM)</w:t>
      </w:r>
      <w:r w:rsidRPr="7A82E900">
        <w:rPr>
          <w:b/>
          <w:bCs/>
        </w:rPr>
        <w:t>:</w:t>
      </w:r>
    </w:p>
    <w:p w14:paraId="5C1802B2" w14:textId="7CD7E98D" w:rsidR="0019323C" w:rsidRDefault="0019323C" w:rsidP="0019323C">
      <w:pPr>
        <w:pStyle w:val="Akapitzlist"/>
        <w:numPr>
          <w:ilvl w:val="0"/>
          <w:numId w:val="8"/>
        </w:numPr>
        <w:spacing w:after="200" w:line="276" w:lineRule="auto"/>
        <w:jc w:val="both"/>
      </w:pPr>
      <w:r>
        <w:t xml:space="preserve">Udostępnianie konfiguracji taryfy (pozycje cennikowe, taryfy) dla </w:t>
      </w:r>
      <w:r w:rsidR="00934A9F">
        <w:t>SADiS</w:t>
      </w:r>
      <w:r w:rsidR="1FD867E9">
        <w:t>.</w:t>
      </w:r>
    </w:p>
    <w:p w14:paraId="202C5A21" w14:textId="3F625DEF" w:rsidR="0019323C" w:rsidRDefault="0019323C" w:rsidP="0019323C">
      <w:pPr>
        <w:pStyle w:val="Akapitzlist"/>
        <w:numPr>
          <w:ilvl w:val="0"/>
          <w:numId w:val="8"/>
        </w:numPr>
        <w:spacing w:after="200" w:line="276" w:lineRule="auto"/>
        <w:jc w:val="both"/>
      </w:pPr>
      <w:r>
        <w:t>Udostępnianie rejestru urządzeń wraz z parametrami sterującymi w tym wzory biletów</w:t>
      </w:r>
      <w:r w:rsidR="0D3B1210">
        <w:t>.</w:t>
      </w:r>
    </w:p>
    <w:p w14:paraId="608A7A4E" w14:textId="58B435AA" w:rsidR="0019323C" w:rsidRDefault="0019323C" w:rsidP="7A82E900">
      <w:pPr>
        <w:pStyle w:val="Akapitzlist"/>
        <w:numPr>
          <w:ilvl w:val="0"/>
          <w:numId w:val="8"/>
        </w:numPr>
        <w:spacing w:after="200" w:line="276" w:lineRule="auto"/>
        <w:jc w:val="both"/>
        <w:rPr>
          <w:rFonts w:eastAsiaTheme="minorEastAsia"/>
        </w:rPr>
      </w:pPr>
      <w:r w:rsidRPr="7A82E900">
        <w:rPr>
          <w:rFonts w:eastAsiaTheme="minorEastAsia"/>
        </w:rPr>
        <w:t>Udostępnianie rejestru operatorów urządzeń SAD</w:t>
      </w:r>
      <w:r w:rsidR="75565912" w:rsidRPr="7A82E900">
        <w:rPr>
          <w:rFonts w:eastAsiaTheme="minorEastAsia"/>
        </w:rPr>
        <w:t>iS</w:t>
      </w:r>
      <w:r w:rsidRPr="7A82E900">
        <w:rPr>
          <w:rFonts w:eastAsiaTheme="minorEastAsia"/>
        </w:rPr>
        <w:t xml:space="preserve"> (proces związany z przypisaniem kont/serwisantów)</w:t>
      </w:r>
      <w:r w:rsidR="4CE01BBA" w:rsidRPr="7A82E900">
        <w:rPr>
          <w:rFonts w:eastAsiaTheme="minorEastAsia"/>
        </w:rPr>
        <w:t>.</w:t>
      </w:r>
    </w:p>
    <w:p w14:paraId="75E89735" w14:textId="64A71E4D" w:rsidR="0019323C" w:rsidRDefault="0019323C" w:rsidP="7A82E900">
      <w:pPr>
        <w:pStyle w:val="Akapitzlist"/>
        <w:numPr>
          <w:ilvl w:val="0"/>
          <w:numId w:val="8"/>
        </w:numPr>
        <w:spacing w:after="200" w:line="276" w:lineRule="auto"/>
        <w:jc w:val="both"/>
        <w:rPr>
          <w:rFonts w:eastAsiaTheme="minorEastAsia"/>
        </w:rPr>
      </w:pPr>
      <w:r w:rsidRPr="7A82E900">
        <w:rPr>
          <w:rFonts w:eastAsiaTheme="minorEastAsia"/>
        </w:rPr>
        <w:lastRenderedPageBreak/>
        <w:t>Kolekcja transakcji sprzedaży biletów, uwzględniająca wszystkie wykonane w SAD</w:t>
      </w:r>
      <w:r w:rsidR="00D26B71" w:rsidRPr="7A82E900">
        <w:rPr>
          <w:rFonts w:eastAsiaTheme="minorEastAsia"/>
        </w:rPr>
        <w:t>iS</w:t>
      </w:r>
      <w:r w:rsidRPr="7A82E900">
        <w:rPr>
          <w:rFonts w:eastAsiaTheme="minorEastAsia"/>
        </w:rPr>
        <w:t xml:space="preserve"> transakcje w tym koszyk i wskazaniem środka płatności (</w:t>
      </w:r>
      <w:r w:rsidR="00934A9F" w:rsidRPr="7A82E900">
        <w:rPr>
          <w:rFonts w:eastAsiaTheme="minorEastAsia"/>
        </w:rPr>
        <w:t>Metrokarta</w:t>
      </w:r>
      <w:r w:rsidRPr="7A82E900">
        <w:rPr>
          <w:rFonts w:eastAsiaTheme="minorEastAsia"/>
        </w:rPr>
        <w:t>, karta płatnicza stykowo i bezstykowo</w:t>
      </w:r>
      <w:r w:rsidR="3680E33F" w:rsidRPr="7A82E900">
        <w:rPr>
          <w:rFonts w:eastAsiaTheme="minorEastAsia"/>
        </w:rPr>
        <w:t>,</w:t>
      </w:r>
      <w:r w:rsidR="00934A9F" w:rsidRPr="7A82E900">
        <w:rPr>
          <w:rFonts w:eastAsiaTheme="minorEastAsia"/>
        </w:rPr>
        <w:t xml:space="preserve"> BLIK or</w:t>
      </w:r>
      <w:r w:rsidRPr="7A82E900">
        <w:rPr>
          <w:rFonts w:eastAsiaTheme="minorEastAsia"/>
        </w:rPr>
        <w:t>az gotówka)</w:t>
      </w:r>
      <w:r w:rsidR="4CE01BBA" w:rsidRPr="7A82E900">
        <w:rPr>
          <w:rFonts w:eastAsiaTheme="minorEastAsia"/>
        </w:rPr>
        <w:t>.</w:t>
      </w:r>
    </w:p>
    <w:p w14:paraId="76FDCA6E" w14:textId="270E0A68" w:rsidR="0019323C" w:rsidRDefault="0019323C" w:rsidP="0019323C">
      <w:pPr>
        <w:pStyle w:val="Akapitzlist"/>
        <w:numPr>
          <w:ilvl w:val="0"/>
          <w:numId w:val="8"/>
        </w:numPr>
        <w:spacing w:after="200" w:line="276" w:lineRule="auto"/>
        <w:jc w:val="both"/>
      </w:pPr>
      <w:r>
        <w:t xml:space="preserve">Kolekcja zdarzeń dot. obsługi </w:t>
      </w:r>
      <w:r w:rsidR="00D26B71">
        <w:t>identyfikatorów konta w postaci Metrokarty</w:t>
      </w:r>
      <w:r w:rsidR="6D9FE452">
        <w:t>.</w:t>
      </w:r>
    </w:p>
    <w:p w14:paraId="014BD9AC" w14:textId="5E5B72EF" w:rsidR="0019323C" w:rsidRDefault="0019323C" w:rsidP="0019323C">
      <w:pPr>
        <w:pStyle w:val="Akapitzlist"/>
        <w:numPr>
          <w:ilvl w:val="0"/>
          <w:numId w:val="8"/>
        </w:numPr>
        <w:spacing w:after="200" w:line="276" w:lineRule="auto"/>
        <w:jc w:val="both"/>
      </w:pPr>
      <w:r>
        <w:t>Kolekcja zdarzeń diagnostycznych z urządzenia, w szczególności umożliwiająca integrację urządzenia z biznesową częścią</w:t>
      </w:r>
      <w:r w:rsidR="00420AF1">
        <w:t xml:space="preserve"> </w:t>
      </w:r>
      <w:r>
        <w:t>w następującym zakresie:</w:t>
      </w:r>
    </w:p>
    <w:p w14:paraId="55EA4AC3" w14:textId="3590146C" w:rsidR="0019323C" w:rsidRDefault="0019323C" w:rsidP="0019323C">
      <w:pPr>
        <w:pStyle w:val="Akapitzlist"/>
        <w:numPr>
          <w:ilvl w:val="1"/>
          <w:numId w:val="8"/>
        </w:numPr>
        <w:spacing w:after="0" w:line="240" w:lineRule="auto"/>
        <w:jc w:val="both"/>
      </w:pPr>
      <w:r>
        <w:t xml:space="preserve">Raportowania stanu urządzenia </w:t>
      </w:r>
      <w:r w:rsidR="00D26B71">
        <w:t>SADiS</w:t>
      </w:r>
      <w:r>
        <w:t xml:space="preserve"> zakresie: </w:t>
      </w:r>
    </w:p>
    <w:p w14:paraId="18430C49" w14:textId="77777777" w:rsidR="0019323C" w:rsidRDefault="0019323C" w:rsidP="0019323C">
      <w:pPr>
        <w:pStyle w:val="Akapitzlist"/>
        <w:numPr>
          <w:ilvl w:val="2"/>
          <w:numId w:val="8"/>
        </w:numPr>
        <w:spacing w:after="0" w:line="240" w:lineRule="auto"/>
        <w:jc w:val="both"/>
      </w:pPr>
      <w:r>
        <w:t xml:space="preserve">Tryb (sprzedażowy / informacyjny), </w:t>
      </w:r>
    </w:p>
    <w:p w14:paraId="5F3B0B9C" w14:textId="77777777" w:rsidR="0019323C" w:rsidRDefault="0019323C" w:rsidP="0019323C">
      <w:pPr>
        <w:pStyle w:val="Akapitzlist"/>
        <w:numPr>
          <w:ilvl w:val="2"/>
          <w:numId w:val="8"/>
        </w:numPr>
        <w:spacing w:after="0" w:line="240" w:lineRule="auto"/>
        <w:jc w:val="both"/>
      </w:pPr>
      <w:r>
        <w:t xml:space="preserve">Stan (aktywny / nieaktywny), </w:t>
      </w:r>
    </w:p>
    <w:p w14:paraId="77393743" w14:textId="77777777" w:rsidR="0019323C" w:rsidRDefault="0019323C" w:rsidP="0019323C">
      <w:pPr>
        <w:pStyle w:val="Akapitzlist"/>
        <w:numPr>
          <w:ilvl w:val="2"/>
          <w:numId w:val="8"/>
        </w:numPr>
        <w:spacing w:after="0" w:line="240" w:lineRule="auto"/>
        <w:jc w:val="both"/>
      </w:pPr>
      <w:r>
        <w:t xml:space="preserve">Drukarki (poprawny / bliski koniec papieru / brak papieru), </w:t>
      </w:r>
    </w:p>
    <w:p w14:paraId="6909EC24" w14:textId="77777777" w:rsidR="0019323C" w:rsidRDefault="0019323C" w:rsidP="0019323C">
      <w:pPr>
        <w:pStyle w:val="Akapitzlist"/>
        <w:numPr>
          <w:ilvl w:val="2"/>
          <w:numId w:val="8"/>
        </w:numPr>
        <w:spacing w:after="0" w:line="240" w:lineRule="auto"/>
        <w:jc w:val="both"/>
      </w:pPr>
      <w:r>
        <w:t xml:space="preserve">Gotówka (poprawny / usterka modułu banknotów / usterka modułu monetowego / przepełnienia kaset), </w:t>
      </w:r>
    </w:p>
    <w:p w14:paraId="3CB50303" w14:textId="143C39C0" w:rsidR="0019323C" w:rsidRDefault="00D26B71" w:rsidP="0019323C">
      <w:pPr>
        <w:pStyle w:val="Akapitzlist"/>
        <w:numPr>
          <w:ilvl w:val="2"/>
          <w:numId w:val="8"/>
        </w:numPr>
        <w:spacing w:after="0" w:line="240" w:lineRule="auto"/>
        <w:jc w:val="both"/>
      </w:pPr>
      <w:r>
        <w:t>Metrokarty</w:t>
      </w:r>
      <w:r w:rsidR="0019323C">
        <w:t xml:space="preserve"> (poprawny / niepoprawny / mała liczba kart),</w:t>
      </w:r>
    </w:p>
    <w:p w14:paraId="07414D14" w14:textId="4BA1C7FB" w:rsidR="0019323C" w:rsidRDefault="0019323C" w:rsidP="0019323C">
      <w:pPr>
        <w:pStyle w:val="Akapitzlist"/>
        <w:numPr>
          <w:ilvl w:val="2"/>
          <w:numId w:val="8"/>
        </w:numPr>
        <w:spacing w:after="0" w:line="240" w:lineRule="auto"/>
        <w:jc w:val="both"/>
      </w:pPr>
      <w:r>
        <w:t>Kontakt z serwerem</w:t>
      </w:r>
    </w:p>
    <w:p w14:paraId="6F36BA93" w14:textId="77777777" w:rsidR="0019323C" w:rsidRDefault="0019323C" w:rsidP="0019323C">
      <w:pPr>
        <w:pStyle w:val="Akapitzlist"/>
        <w:numPr>
          <w:ilvl w:val="2"/>
          <w:numId w:val="8"/>
        </w:numPr>
        <w:spacing w:after="0" w:line="240" w:lineRule="auto"/>
        <w:jc w:val="both"/>
      </w:pPr>
      <w:r>
        <w:t>Zainstalowana wersja oprogramowania</w:t>
      </w:r>
    </w:p>
    <w:p w14:paraId="21A09017" w14:textId="77777777" w:rsidR="0019323C" w:rsidRDefault="0019323C" w:rsidP="0019323C">
      <w:pPr>
        <w:spacing w:after="0" w:line="240" w:lineRule="auto"/>
        <w:ind w:left="1440"/>
        <w:jc w:val="both"/>
      </w:pPr>
    </w:p>
    <w:p w14:paraId="27C49168" w14:textId="0F6A45B2" w:rsidR="0019323C" w:rsidRDefault="0019323C" w:rsidP="0019323C">
      <w:pPr>
        <w:pStyle w:val="Akapitzlist"/>
        <w:numPr>
          <w:ilvl w:val="1"/>
          <w:numId w:val="8"/>
        </w:numPr>
        <w:spacing w:after="0" w:line="240" w:lineRule="auto"/>
        <w:jc w:val="both"/>
      </w:pPr>
      <w:r>
        <w:t xml:space="preserve">Raportowania stanu poszczególnych podzespołów urządzenia </w:t>
      </w:r>
      <w:r w:rsidR="00D26B71">
        <w:t>SADiS</w:t>
      </w:r>
      <w:r>
        <w:t xml:space="preserve"> w zakresie:</w:t>
      </w:r>
    </w:p>
    <w:p w14:paraId="3B0B0E76" w14:textId="77777777" w:rsidR="0019323C" w:rsidRDefault="0019323C" w:rsidP="0019323C">
      <w:pPr>
        <w:pStyle w:val="Akapitzlist"/>
        <w:numPr>
          <w:ilvl w:val="2"/>
          <w:numId w:val="8"/>
        </w:numPr>
        <w:spacing w:after="0" w:line="240" w:lineRule="auto"/>
        <w:jc w:val="both"/>
      </w:pPr>
      <w:r>
        <w:t>Alarm</w:t>
      </w:r>
    </w:p>
    <w:p w14:paraId="323689E1" w14:textId="77777777" w:rsidR="0019323C" w:rsidRDefault="0019323C" w:rsidP="0019323C">
      <w:pPr>
        <w:pStyle w:val="Akapitzlist"/>
        <w:numPr>
          <w:ilvl w:val="2"/>
          <w:numId w:val="8"/>
        </w:numPr>
        <w:spacing w:after="0" w:line="240" w:lineRule="auto"/>
        <w:jc w:val="both"/>
      </w:pPr>
      <w:r>
        <w:t>Drzwi</w:t>
      </w:r>
    </w:p>
    <w:p w14:paraId="71543B60" w14:textId="77777777" w:rsidR="0019323C" w:rsidRDefault="0019323C" w:rsidP="0019323C">
      <w:pPr>
        <w:pStyle w:val="Akapitzlist"/>
        <w:numPr>
          <w:ilvl w:val="2"/>
          <w:numId w:val="8"/>
        </w:numPr>
        <w:spacing w:after="0" w:line="240" w:lineRule="auto"/>
        <w:jc w:val="both"/>
      </w:pPr>
      <w:r>
        <w:t>Zanik napięcia</w:t>
      </w:r>
    </w:p>
    <w:p w14:paraId="4776CC62" w14:textId="592E7585" w:rsidR="0019323C" w:rsidRDefault="0019323C" w:rsidP="0019323C">
      <w:pPr>
        <w:pStyle w:val="Akapitzlist"/>
        <w:numPr>
          <w:ilvl w:val="2"/>
          <w:numId w:val="8"/>
        </w:numPr>
        <w:spacing w:after="0" w:line="240" w:lineRule="auto"/>
        <w:jc w:val="both"/>
      </w:pPr>
      <w:r>
        <w:t>Status BNV</w:t>
      </w:r>
      <w:r w:rsidR="000210A2">
        <w:t xml:space="preserve"> (moduł banknotów)</w:t>
      </w:r>
    </w:p>
    <w:p w14:paraId="1E9B1FD0" w14:textId="1E51A5CD" w:rsidR="000210A2" w:rsidRDefault="000210A2" w:rsidP="0019323C">
      <w:pPr>
        <w:pStyle w:val="Akapitzlist"/>
        <w:numPr>
          <w:ilvl w:val="2"/>
          <w:numId w:val="8"/>
        </w:numPr>
        <w:spacing w:after="0" w:line="240" w:lineRule="auto"/>
        <w:jc w:val="both"/>
      </w:pPr>
      <w:r>
        <w:t>Status podzespołów gotówkowych (monety)</w:t>
      </w:r>
    </w:p>
    <w:p w14:paraId="338BA4D8" w14:textId="77777777" w:rsidR="0019323C" w:rsidRDefault="0019323C" w:rsidP="7A82E900">
      <w:pPr>
        <w:spacing w:after="0" w:line="240" w:lineRule="auto"/>
        <w:ind w:left="1440"/>
        <w:jc w:val="both"/>
        <w:rPr>
          <w:rFonts w:eastAsiaTheme="minorEastAsia"/>
        </w:rPr>
      </w:pPr>
    </w:p>
    <w:p w14:paraId="0F3FB2C3" w14:textId="676B925E" w:rsidR="0019323C" w:rsidRDefault="0019323C" w:rsidP="7A82E900">
      <w:pPr>
        <w:pStyle w:val="Akapitzlist"/>
        <w:numPr>
          <w:ilvl w:val="1"/>
          <w:numId w:val="8"/>
        </w:numPr>
        <w:spacing w:after="0" w:line="240" w:lineRule="auto"/>
        <w:jc w:val="both"/>
        <w:rPr>
          <w:rFonts w:eastAsiaTheme="minorEastAsia"/>
        </w:rPr>
      </w:pPr>
      <w:r w:rsidRPr="7A82E900">
        <w:rPr>
          <w:rFonts w:eastAsiaTheme="minorEastAsia"/>
        </w:rPr>
        <w:t xml:space="preserve">Raportowanie logów operatora </w:t>
      </w:r>
      <w:r w:rsidR="00D26B71" w:rsidRPr="7A82E900">
        <w:rPr>
          <w:rFonts w:eastAsiaTheme="minorEastAsia"/>
        </w:rPr>
        <w:t>SADiS wykonywanych czynności w zakresie:</w:t>
      </w:r>
    </w:p>
    <w:p w14:paraId="54A2ED08" w14:textId="5D299C16" w:rsidR="00D26B71" w:rsidRDefault="00D26B71" w:rsidP="7A82E900">
      <w:pPr>
        <w:pStyle w:val="Akapitzlist"/>
        <w:numPr>
          <w:ilvl w:val="2"/>
          <w:numId w:val="8"/>
        </w:numPr>
        <w:spacing w:after="0" w:line="240" w:lineRule="auto"/>
        <w:jc w:val="both"/>
        <w:rPr>
          <w:rFonts w:eastAsiaTheme="minorEastAsia"/>
        </w:rPr>
      </w:pPr>
      <w:r w:rsidRPr="7A82E900">
        <w:rPr>
          <w:rFonts w:eastAsiaTheme="minorEastAsia"/>
        </w:rPr>
        <w:t>Eksploatacji drukarek</w:t>
      </w:r>
    </w:p>
    <w:p w14:paraId="06A732F8" w14:textId="1898396D" w:rsidR="00D26B71" w:rsidRDefault="00D26B71" w:rsidP="7A82E900">
      <w:pPr>
        <w:pStyle w:val="Akapitzlist"/>
        <w:numPr>
          <w:ilvl w:val="2"/>
          <w:numId w:val="8"/>
        </w:numPr>
        <w:spacing w:after="0" w:line="240" w:lineRule="auto"/>
        <w:jc w:val="both"/>
        <w:rPr>
          <w:rFonts w:eastAsiaTheme="minorEastAsia"/>
        </w:rPr>
      </w:pPr>
      <w:r w:rsidRPr="7A82E900">
        <w:rPr>
          <w:rFonts w:eastAsiaTheme="minorEastAsia"/>
        </w:rPr>
        <w:t xml:space="preserve">Czynności związanych </w:t>
      </w:r>
      <w:r w:rsidR="002D1186" w:rsidRPr="7A82E900">
        <w:rPr>
          <w:rFonts w:eastAsiaTheme="minorEastAsia"/>
        </w:rPr>
        <w:t>z obsługą gotówki</w:t>
      </w:r>
    </w:p>
    <w:p w14:paraId="44D45369" w14:textId="2F128879" w:rsidR="00943B7D" w:rsidRDefault="00943B7D" w:rsidP="7A82E900">
      <w:pPr>
        <w:pStyle w:val="Akapitzlist"/>
        <w:numPr>
          <w:ilvl w:val="2"/>
          <w:numId w:val="8"/>
        </w:numPr>
        <w:spacing w:after="0" w:line="240" w:lineRule="auto"/>
        <w:jc w:val="both"/>
        <w:rPr>
          <w:rFonts w:eastAsiaTheme="minorEastAsia"/>
        </w:rPr>
      </w:pPr>
      <w:r w:rsidRPr="7A82E900">
        <w:rPr>
          <w:rFonts w:eastAsiaTheme="minorEastAsia"/>
        </w:rPr>
        <w:t>Czynności serwisowe oraz diagnostyczne</w:t>
      </w:r>
    </w:p>
    <w:p w14:paraId="19B99079" w14:textId="77777777" w:rsidR="0019323C" w:rsidRDefault="0019323C" w:rsidP="7A82E900">
      <w:pPr>
        <w:spacing w:after="0" w:line="240" w:lineRule="auto"/>
        <w:ind w:left="720"/>
        <w:jc w:val="both"/>
        <w:rPr>
          <w:rFonts w:eastAsiaTheme="minorEastAsia"/>
        </w:rPr>
      </w:pPr>
    </w:p>
    <w:p w14:paraId="7EE83D2E" w14:textId="77777777" w:rsidR="0019323C" w:rsidRDefault="0019323C" w:rsidP="7A82E900">
      <w:pPr>
        <w:pStyle w:val="Akapitzlist"/>
        <w:numPr>
          <w:ilvl w:val="1"/>
          <w:numId w:val="8"/>
        </w:numPr>
        <w:spacing w:after="0" w:line="240" w:lineRule="auto"/>
        <w:jc w:val="both"/>
        <w:rPr>
          <w:rFonts w:eastAsiaTheme="minorEastAsia"/>
        </w:rPr>
      </w:pPr>
      <w:r w:rsidRPr="7A82E900">
        <w:rPr>
          <w:rFonts w:eastAsiaTheme="minorEastAsia"/>
        </w:rPr>
        <w:t xml:space="preserve">Raportowanie zrealizowanych transakcji na danym urządzeniu USAD w zakresie: </w:t>
      </w:r>
    </w:p>
    <w:p w14:paraId="2E801C00"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Status transakcji</w:t>
      </w:r>
    </w:p>
    <w:p w14:paraId="03BF0372"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Data</w:t>
      </w:r>
    </w:p>
    <w:p w14:paraId="51F3DEEA"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Kwota</w:t>
      </w:r>
    </w:p>
    <w:p w14:paraId="13BBA12F"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Typ płatności</w:t>
      </w:r>
    </w:p>
    <w:p w14:paraId="20234A50"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Przyjęte i wydane monety/banknoty (w rozbiciu na poszczególne nominały monet i banknotów przyjęte i wydane)</w:t>
      </w:r>
    </w:p>
    <w:p w14:paraId="04E6A86C"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Numer GIT</w:t>
      </w:r>
    </w:p>
    <w:p w14:paraId="1FD7E40B"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Typ kontraktu</w:t>
      </w:r>
    </w:p>
    <w:p w14:paraId="3854454D"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Ilość kontraktów</w:t>
      </w:r>
    </w:p>
    <w:p w14:paraId="13F36382"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Wydanie potwierdzenia</w:t>
      </w:r>
    </w:p>
    <w:p w14:paraId="7B3D1F1B" w14:textId="4999D956"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 xml:space="preserve">Numer </w:t>
      </w:r>
      <w:r w:rsidR="00513E6E" w:rsidRPr="7A82E900">
        <w:rPr>
          <w:rFonts w:eastAsiaTheme="minorEastAsia"/>
        </w:rPr>
        <w:t>Konta klienta</w:t>
      </w:r>
    </w:p>
    <w:p w14:paraId="72DF4771"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Numer użytej karty płatniczej</w:t>
      </w:r>
    </w:p>
    <w:p w14:paraId="7AC4A4F8"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Numer TID</w:t>
      </w:r>
    </w:p>
    <w:p w14:paraId="64F9C616"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Numer MID</w:t>
      </w:r>
    </w:p>
    <w:p w14:paraId="5D312DE8" w14:textId="42535839"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t>Informacje dodatkowe (wydruk biletów, nume</w:t>
      </w:r>
      <w:r w:rsidR="002D1186" w:rsidRPr="7A82E900">
        <w:rPr>
          <w:rFonts w:eastAsiaTheme="minorEastAsia"/>
        </w:rPr>
        <w:t>ry biletów)</w:t>
      </w:r>
    </w:p>
    <w:p w14:paraId="42BAF70C" w14:textId="77777777" w:rsidR="0019323C" w:rsidRDefault="0019323C" w:rsidP="7A82E900">
      <w:pPr>
        <w:pStyle w:val="Akapitzlist"/>
        <w:numPr>
          <w:ilvl w:val="2"/>
          <w:numId w:val="8"/>
        </w:numPr>
        <w:spacing w:after="0" w:line="240" w:lineRule="auto"/>
        <w:jc w:val="both"/>
        <w:rPr>
          <w:rFonts w:eastAsiaTheme="minorEastAsia"/>
        </w:rPr>
      </w:pPr>
      <w:r w:rsidRPr="7A82E900">
        <w:rPr>
          <w:rFonts w:eastAsiaTheme="minorEastAsia"/>
        </w:rPr>
        <w:lastRenderedPageBreak/>
        <w:t>Błędy związane z obsługą transakcji (o ile wystąpiły)</w:t>
      </w:r>
    </w:p>
    <w:p w14:paraId="19A45211" w14:textId="77777777" w:rsidR="0019323C" w:rsidRDefault="0019323C" w:rsidP="0019323C">
      <w:pPr>
        <w:spacing w:after="0" w:line="240" w:lineRule="auto"/>
        <w:ind w:left="1440"/>
        <w:jc w:val="both"/>
      </w:pPr>
    </w:p>
    <w:p w14:paraId="4FED0D53" w14:textId="5BE3809F" w:rsidR="0019323C" w:rsidRDefault="0019323C" w:rsidP="0019323C">
      <w:pPr>
        <w:pStyle w:val="Akapitzlist"/>
        <w:numPr>
          <w:ilvl w:val="1"/>
          <w:numId w:val="8"/>
        </w:numPr>
        <w:spacing w:after="0" w:line="240" w:lineRule="auto"/>
        <w:jc w:val="both"/>
      </w:pPr>
      <w:r>
        <w:t xml:space="preserve">Raportowanie stanu gotówki danego urządzenia </w:t>
      </w:r>
      <w:r w:rsidR="002D1186">
        <w:t>SADiS</w:t>
      </w:r>
      <w:r>
        <w:t xml:space="preserve"> w zakresie:</w:t>
      </w:r>
    </w:p>
    <w:p w14:paraId="5424F700" w14:textId="77777777" w:rsidR="0019323C" w:rsidRDefault="0019323C" w:rsidP="0019323C">
      <w:pPr>
        <w:pStyle w:val="Akapitzlist"/>
        <w:numPr>
          <w:ilvl w:val="2"/>
          <w:numId w:val="8"/>
        </w:numPr>
        <w:spacing w:after="0" w:line="240" w:lineRule="auto"/>
        <w:jc w:val="both"/>
      </w:pPr>
      <w:r>
        <w:t xml:space="preserve">Status </w:t>
      </w:r>
    </w:p>
    <w:p w14:paraId="2924B0A4" w14:textId="77777777" w:rsidR="0019323C" w:rsidRDefault="0019323C" w:rsidP="0019323C">
      <w:pPr>
        <w:pStyle w:val="Akapitzlist"/>
        <w:numPr>
          <w:ilvl w:val="2"/>
          <w:numId w:val="8"/>
        </w:numPr>
        <w:spacing w:after="0" w:line="240" w:lineRule="auto"/>
        <w:jc w:val="both"/>
      </w:pPr>
      <w:r>
        <w:t>Zdarzenie</w:t>
      </w:r>
    </w:p>
    <w:p w14:paraId="7F993DCB" w14:textId="56EE3B7C" w:rsidR="0019323C" w:rsidRDefault="0019323C" w:rsidP="0019323C">
      <w:pPr>
        <w:pStyle w:val="Akapitzlist"/>
        <w:numPr>
          <w:ilvl w:val="2"/>
          <w:numId w:val="8"/>
        </w:numPr>
        <w:spacing w:after="0" w:line="240" w:lineRule="auto"/>
        <w:jc w:val="both"/>
      </w:pPr>
      <w:r>
        <w:t xml:space="preserve">Ilość </w:t>
      </w:r>
      <w:r w:rsidR="002D1186">
        <w:t xml:space="preserve">oraz wartość </w:t>
      </w:r>
      <w:r>
        <w:t>poszczególnych monet w zasobnikach do wydawania reszty</w:t>
      </w:r>
    </w:p>
    <w:p w14:paraId="34E49A1F" w14:textId="04B0B367" w:rsidR="0019323C" w:rsidRDefault="0019323C" w:rsidP="0019323C">
      <w:pPr>
        <w:pStyle w:val="Akapitzlist"/>
        <w:numPr>
          <w:ilvl w:val="2"/>
          <w:numId w:val="8"/>
        </w:numPr>
        <w:spacing w:after="0" w:line="240" w:lineRule="auto"/>
        <w:jc w:val="both"/>
      </w:pPr>
      <w:r>
        <w:t xml:space="preserve">Ilość </w:t>
      </w:r>
      <w:r w:rsidR="002D1186">
        <w:t>ora</w:t>
      </w:r>
      <w:r w:rsidR="59AA1A3B">
        <w:t>z</w:t>
      </w:r>
      <w:r w:rsidR="002D1186">
        <w:t xml:space="preserve"> z</w:t>
      </w:r>
      <w:r w:rsidR="00BA0053">
        <w:t>a</w:t>
      </w:r>
      <w:r w:rsidR="002D1186">
        <w:t xml:space="preserve">wartość </w:t>
      </w:r>
      <w:r>
        <w:t>poszczególnych monet w kasecie końcowej</w:t>
      </w:r>
    </w:p>
    <w:p w14:paraId="40F95707" w14:textId="424F4E37" w:rsidR="0019323C" w:rsidRDefault="0019323C" w:rsidP="0019323C">
      <w:pPr>
        <w:pStyle w:val="Akapitzlist"/>
        <w:numPr>
          <w:ilvl w:val="2"/>
          <w:numId w:val="8"/>
        </w:numPr>
        <w:spacing w:after="0" w:line="240" w:lineRule="auto"/>
        <w:jc w:val="both"/>
      </w:pPr>
      <w:r>
        <w:t xml:space="preserve">Ilość </w:t>
      </w:r>
      <w:r w:rsidR="002D1186">
        <w:t xml:space="preserve">oraz wartość </w:t>
      </w:r>
      <w:r>
        <w:t>poszczególnych banknotów w kasecie końcowej</w:t>
      </w:r>
    </w:p>
    <w:p w14:paraId="388C7120" w14:textId="77777777" w:rsidR="0019323C" w:rsidRDefault="0019323C" w:rsidP="0019323C">
      <w:pPr>
        <w:pStyle w:val="Akapitzlist"/>
        <w:numPr>
          <w:ilvl w:val="2"/>
          <w:numId w:val="8"/>
        </w:numPr>
        <w:spacing w:after="0" w:line="240" w:lineRule="auto"/>
        <w:jc w:val="both"/>
      </w:pPr>
      <w:r>
        <w:t>Stan (informacja o błędzie) poszczególnych kaset i zasobników</w:t>
      </w:r>
    </w:p>
    <w:p w14:paraId="7EDC9A55" w14:textId="77777777" w:rsidR="0019323C" w:rsidRDefault="0019323C" w:rsidP="0019323C">
      <w:pPr>
        <w:spacing w:after="0" w:line="240" w:lineRule="auto"/>
        <w:ind w:left="1440"/>
        <w:jc w:val="both"/>
      </w:pPr>
    </w:p>
    <w:p w14:paraId="7019BA8B" w14:textId="6CE4CEE3" w:rsidR="0019323C" w:rsidRDefault="0019323C" w:rsidP="0019323C">
      <w:pPr>
        <w:pStyle w:val="Akapitzlist"/>
        <w:numPr>
          <w:ilvl w:val="1"/>
          <w:numId w:val="8"/>
        </w:numPr>
        <w:spacing w:after="0" w:line="240" w:lineRule="auto"/>
        <w:jc w:val="both"/>
      </w:pPr>
      <w:r>
        <w:t xml:space="preserve">Raportowanie stanu Kart </w:t>
      </w:r>
      <w:proofErr w:type="spellStart"/>
      <w:r w:rsidR="00204D15">
        <w:t>Metrokart</w:t>
      </w:r>
      <w:proofErr w:type="spellEnd"/>
      <w:r>
        <w:t xml:space="preserve"> dla danego urządzenia SAD</w:t>
      </w:r>
      <w:r w:rsidR="4FA61797">
        <w:t>iS</w:t>
      </w:r>
      <w:r>
        <w:t xml:space="preserve"> w zakresie:</w:t>
      </w:r>
    </w:p>
    <w:p w14:paraId="26165684" w14:textId="77777777" w:rsidR="0019323C" w:rsidRDefault="0019323C" w:rsidP="0019323C">
      <w:pPr>
        <w:pStyle w:val="Akapitzlist"/>
        <w:numPr>
          <w:ilvl w:val="2"/>
          <w:numId w:val="8"/>
        </w:numPr>
        <w:spacing w:after="0" w:line="240" w:lineRule="auto"/>
        <w:jc w:val="both"/>
      </w:pPr>
      <w:r>
        <w:t>Liczba wszystkich kart</w:t>
      </w:r>
    </w:p>
    <w:p w14:paraId="4201CEB5" w14:textId="77777777" w:rsidR="0019323C" w:rsidRDefault="0019323C" w:rsidP="0019323C">
      <w:pPr>
        <w:pStyle w:val="Akapitzlist"/>
        <w:numPr>
          <w:ilvl w:val="2"/>
          <w:numId w:val="8"/>
        </w:numPr>
        <w:spacing w:after="0" w:line="240" w:lineRule="auto"/>
        <w:jc w:val="both"/>
      </w:pPr>
      <w:r>
        <w:t>Liczba kart gotowych do wydania</w:t>
      </w:r>
    </w:p>
    <w:p w14:paraId="5A63DDE7" w14:textId="77777777" w:rsidR="0019323C" w:rsidRDefault="0019323C" w:rsidP="0019323C">
      <w:pPr>
        <w:pStyle w:val="Akapitzlist"/>
        <w:numPr>
          <w:ilvl w:val="2"/>
          <w:numId w:val="8"/>
        </w:numPr>
        <w:spacing w:after="0" w:line="240" w:lineRule="auto"/>
        <w:jc w:val="both"/>
      </w:pPr>
      <w:r>
        <w:t>Liczba kart wydanych</w:t>
      </w:r>
    </w:p>
    <w:p w14:paraId="4444D330" w14:textId="77777777" w:rsidR="0019323C" w:rsidRDefault="0019323C" w:rsidP="0019323C">
      <w:pPr>
        <w:pStyle w:val="Akapitzlist"/>
        <w:numPr>
          <w:ilvl w:val="2"/>
          <w:numId w:val="8"/>
        </w:numPr>
        <w:spacing w:after="0" w:line="240" w:lineRule="auto"/>
        <w:jc w:val="both"/>
      </w:pPr>
      <w:r>
        <w:t>Liczba kart wyjętych (</w:t>
      </w:r>
      <w:proofErr w:type="spellStart"/>
      <w:r>
        <w:t>ErrorBin</w:t>
      </w:r>
      <w:proofErr w:type="spellEnd"/>
      <w:r>
        <w:t>)</w:t>
      </w:r>
    </w:p>
    <w:p w14:paraId="4486E04C" w14:textId="77777777" w:rsidR="0019323C" w:rsidRDefault="0019323C" w:rsidP="0019323C">
      <w:pPr>
        <w:pStyle w:val="Akapitzlist"/>
        <w:numPr>
          <w:ilvl w:val="2"/>
          <w:numId w:val="8"/>
        </w:numPr>
        <w:spacing w:after="0" w:line="240" w:lineRule="auto"/>
        <w:jc w:val="both"/>
      </w:pPr>
      <w:r>
        <w:t>Liczba kart nieznalezionych</w:t>
      </w:r>
    </w:p>
    <w:p w14:paraId="0557A146" w14:textId="77777777" w:rsidR="0019323C" w:rsidRDefault="0019323C" w:rsidP="0019323C">
      <w:pPr>
        <w:spacing w:after="0" w:line="240" w:lineRule="auto"/>
        <w:jc w:val="both"/>
      </w:pPr>
    </w:p>
    <w:p w14:paraId="0DD2AFDB" w14:textId="77777777" w:rsidR="0019323C" w:rsidRDefault="0019323C" w:rsidP="0019323C">
      <w:pPr>
        <w:pStyle w:val="Akapitzlist"/>
        <w:numPr>
          <w:ilvl w:val="1"/>
          <w:numId w:val="8"/>
        </w:numPr>
        <w:spacing w:after="0" w:line="240" w:lineRule="auto"/>
        <w:jc w:val="both"/>
      </w:pPr>
      <w:r>
        <w:t>Raportowanie statusu dyspensera</w:t>
      </w:r>
    </w:p>
    <w:p w14:paraId="66B12B97" w14:textId="77777777" w:rsidR="0019323C" w:rsidRDefault="0019323C" w:rsidP="0019323C">
      <w:pPr>
        <w:spacing w:after="0" w:line="240" w:lineRule="auto"/>
        <w:ind w:left="720"/>
        <w:jc w:val="both"/>
      </w:pPr>
    </w:p>
    <w:p w14:paraId="35E22130" w14:textId="77777777" w:rsidR="0019323C" w:rsidRDefault="0019323C" w:rsidP="0019323C">
      <w:pPr>
        <w:pStyle w:val="Akapitzlist"/>
        <w:numPr>
          <w:ilvl w:val="1"/>
          <w:numId w:val="8"/>
        </w:numPr>
        <w:spacing w:after="0" w:line="240" w:lineRule="auto"/>
        <w:jc w:val="both"/>
      </w:pPr>
      <w:r>
        <w:t>Raportowanie zainstalowanych wersji oprogramowania w zakresie:</w:t>
      </w:r>
    </w:p>
    <w:p w14:paraId="3F200667" w14:textId="77777777" w:rsidR="0019323C" w:rsidRDefault="0019323C" w:rsidP="0019323C">
      <w:pPr>
        <w:pStyle w:val="Akapitzlist"/>
        <w:numPr>
          <w:ilvl w:val="2"/>
          <w:numId w:val="8"/>
        </w:numPr>
        <w:spacing w:after="0" w:line="240" w:lineRule="auto"/>
        <w:jc w:val="both"/>
      </w:pPr>
      <w:r>
        <w:t>Wersja aplikacji</w:t>
      </w:r>
    </w:p>
    <w:p w14:paraId="4AA280B3" w14:textId="77777777" w:rsidR="0019323C" w:rsidRDefault="0019323C" w:rsidP="0019323C">
      <w:pPr>
        <w:pStyle w:val="Akapitzlist"/>
        <w:numPr>
          <w:ilvl w:val="2"/>
          <w:numId w:val="8"/>
        </w:numPr>
        <w:spacing w:after="0" w:line="240" w:lineRule="auto"/>
        <w:jc w:val="both"/>
      </w:pPr>
      <w:r>
        <w:t>Data aktualizacji</w:t>
      </w:r>
    </w:p>
    <w:p w14:paraId="6C5607EA" w14:textId="41DFA381" w:rsidR="0019323C" w:rsidRDefault="0019323C" w:rsidP="00513E6E">
      <w:pPr>
        <w:pStyle w:val="Akapitzlist"/>
        <w:numPr>
          <w:ilvl w:val="2"/>
          <w:numId w:val="8"/>
        </w:numPr>
        <w:spacing w:after="0" w:line="240" w:lineRule="auto"/>
        <w:jc w:val="both"/>
      </w:pPr>
      <w:r>
        <w:t>Suma kontrol</w:t>
      </w:r>
      <w:r w:rsidR="33647ADA">
        <w:t>n</w:t>
      </w:r>
      <w:r>
        <w:t>a wersji instalacyjnej</w:t>
      </w:r>
    </w:p>
    <w:p w14:paraId="3B7A9970" w14:textId="3FEED891" w:rsidR="0019323C" w:rsidRDefault="0019323C" w:rsidP="0019323C">
      <w:pPr>
        <w:pStyle w:val="Akapitzlist"/>
        <w:numPr>
          <w:ilvl w:val="1"/>
          <w:numId w:val="8"/>
        </w:numPr>
        <w:spacing w:after="0" w:line="240" w:lineRule="auto"/>
        <w:jc w:val="both"/>
      </w:pPr>
      <w:r>
        <w:t>Raportowanie stanu rozliczenia</w:t>
      </w:r>
      <w:r w:rsidR="00513E6E">
        <w:t xml:space="preserve"> transakcji płatności EMV</w:t>
      </w:r>
      <w:r>
        <w:t xml:space="preserve"> - agenta rozliczeniowego</w:t>
      </w:r>
    </w:p>
    <w:p w14:paraId="621FA2B3" w14:textId="3E9704CC" w:rsidR="002D1186" w:rsidRDefault="002D1186" w:rsidP="0019323C">
      <w:pPr>
        <w:pStyle w:val="Akapitzlist"/>
        <w:numPr>
          <w:ilvl w:val="1"/>
          <w:numId w:val="8"/>
        </w:numPr>
        <w:spacing w:after="0" w:line="240" w:lineRule="auto"/>
        <w:jc w:val="both"/>
      </w:pPr>
      <w:r>
        <w:t>Możliwość pobierania logów urządzenia bezpośrednio z AOZ</w:t>
      </w:r>
    </w:p>
    <w:p w14:paraId="46D36AB4" w14:textId="6D54B5B8" w:rsidR="00513E6E" w:rsidRDefault="00513E6E" w:rsidP="0019323C">
      <w:pPr>
        <w:pStyle w:val="Akapitzlist"/>
        <w:numPr>
          <w:ilvl w:val="1"/>
          <w:numId w:val="8"/>
        </w:numPr>
        <w:spacing w:after="0" w:line="240" w:lineRule="auto"/>
        <w:jc w:val="both"/>
      </w:pPr>
      <w:r>
        <w:t>Bezpieczeństwo Metrokarty</w:t>
      </w:r>
    </w:p>
    <w:p w14:paraId="660138BC" w14:textId="489FA49B" w:rsidR="00513E6E" w:rsidRDefault="00513E6E" w:rsidP="00513E6E">
      <w:pPr>
        <w:pStyle w:val="Akapitzlist"/>
        <w:numPr>
          <w:ilvl w:val="2"/>
          <w:numId w:val="8"/>
        </w:numPr>
        <w:spacing w:after="0" w:line="240" w:lineRule="auto"/>
        <w:jc w:val="both"/>
      </w:pPr>
      <w:r>
        <w:t>Obsługa karty SAM</w:t>
      </w:r>
    </w:p>
    <w:p w14:paraId="48E14213" w14:textId="4C57FFCD" w:rsidR="00513E6E" w:rsidRDefault="00513E6E" w:rsidP="00513E6E">
      <w:pPr>
        <w:pStyle w:val="Akapitzlist"/>
        <w:numPr>
          <w:ilvl w:val="2"/>
          <w:numId w:val="8"/>
        </w:numPr>
        <w:spacing w:after="0" w:line="240" w:lineRule="auto"/>
        <w:jc w:val="both"/>
      </w:pPr>
      <w:r>
        <w:t>Obsługa Metrokarty</w:t>
      </w:r>
    </w:p>
    <w:p w14:paraId="0DABC156" w14:textId="0052270E" w:rsidR="00513E6E" w:rsidRDefault="00513E6E" w:rsidP="00513E6E">
      <w:pPr>
        <w:pStyle w:val="Akapitzlist"/>
        <w:numPr>
          <w:ilvl w:val="1"/>
          <w:numId w:val="8"/>
        </w:numPr>
        <w:spacing w:after="0" w:line="240" w:lineRule="auto"/>
        <w:jc w:val="both"/>
      </w:pPr>
      <w:r>
        <w:t>Pobieranie danych słownikowych</w:t>
      </w:r>
    </w:p>
    <w:p w14:paraId="1EE8A596" w14:textId="58DBC572" w:rsidR="00513E6E" w:rsidRDefault="00513E6E" w:rsidP="00513E6E">
      <w:pPr>
        <w:pStyle w:val="Akapitzlist"/>
        <w:numPr>
          <w:ilvl w:val="1"/>
          <w:numId w:val="8"/>
        </w:numPr>
        <w:spacing w:after="0" w:line="240" w:lineRule="auto"/>
        <w:jc w:val="both"/>
      </w:pPr>
      <w:r>
        <w:t>Obsługa konta klienta w zakresie:</w:t>
      </w:r>
    </w:p>
    <w:p w14:paraId="6604BF88" w14:textId="55E6C402" w:rsidR="00513E6E" w:rsidRDefault="00513E6E" w:rsidP="00513E6E">
      <w:pPr>
        <w:pStyle w:val="Akapitzlist"/>
        <w:numPr>
          <w:ilvl w:val="2"/>
          <w:numId w:val="8"/>
        </w:numPr>
        <w:spacing w:after="0" w:line="240" w:lineRule="auto"/>
        <w:jc w:val="both"/>
      </w:pPr>
      <w:r>
        <w:t>Zakup kontraktów</w:t>
      </w:r>
    </w:p>
    <w:p w14:paraId="748EAB1C" w14:textId="4DC2B2C9" w:rsidR="00513E6E" w:rsidRDefault="00513E6E" w:rsidP="00513E6E">
      <w:pPr>
        <w:pStyle w:val="Akapitzlist"/>
        <w:numPr>
          <w:ilvl w:val="2"/>
          <w:numId w:val="8"/>
        </w:numPr>
        <w:spacing w:after="0" w:line="240" w:lineRule="auto"/>
        <w:jc w:val="both"/>
      </w:pPr>
      <w:r>
        <w:t>Płatności pieniądzem elektronicznym</w:t>
      </w:r>
    </w:p>
    <w:p w14:paraId="72B6B10A" w14:textId="2C730972" w:rsidR="00513E6E" w:rsidRDefault="00513E6E" w:rsidP="00513E6E">
      <w:pPr>
        <w:pStyle w:val="Akapitzlist"/>
        <w:numPr>
          <w:ilvl w:val="2"/>
          <w:numId w:val="8"/>
        </w:numPr>
        <w:spacing w:after="0" w:line="240" w:lineRule="auto"/>
        <w:jc w:val="both"/>
      </w:pPr>
      <w:r>
        <w:t>Zasilenie konta</w:t>
      </w:r>
    </w:p>
    <w:p w14:paraId="71A0F0B2" w14:textId="0F1C8C5C" w:rsidR="00513E6E" w:rsidRDefault="00513E6E" w:rsidP="00513E6E">
      <w:pPr>
        <w:pStyle w:val="Akapitzlist"/>
        <w:numPr>
          <w:ilvl w:val="2"/>
          <w:numId w:val="8"/>
        </w:numPr>
        <w:spacing w:after="0" w:line="240" w:lineRule="auto"/>
        <w:jc w:val="both"/>
      </w:pPr>
      <w:r>
        <w:t>Zwroty kontraktów</w:t>
      </w:r>
    </w:p>
    <w:p w14:paraId="1CD0125B" w14:textId="3D5CE80E" w:rsidR="00420AF1" w:rsidRDefault="00513E6E" w:rsidP="00420AF1">
      <w:pPr>
        <w:pStyle w:val="Akapitzlist"/>
        <w:numPr>
          <w:ilvl w:val="1"/>
          <w:numId w:val="8"/>
        </w:numPr>
        <w:spacing w:after="0" w:line="240" w:lineRule="auto"/>
        <w:jc w:val="both"/>
      </w:pPr>
      <w:r>
        <w:t xml:space="preserve">Operacje </w:t>
      </w:r>
      <w:r w:rsidR="00420AF1">
        <w:t>finansowe realizowane na styku z systemem centralnym</w:t>
      </w:r>
    </w:p>
    <w:p w14:paraId="1850C3F5" w14:textId="0021395F" w:rsidR="00A314CE" w:rsidRPr="00A314CE" w:rsidRDefault="008E6F5E" w:rsidP="008E6F5E">
      <w:pPr>
        <w:spacing w:line="259" w:lineRule="auto"/>
      </w:pPr>
      <w:r>
        <w:br w:type="page"/>
      </w:r>
    </w:p>
    <w:p w14:paraId="2A4032A2" w14:textId="759346B0" w:rsidR="008E6F5E" w:rsidRDefault="008E6F5E" w:rsidP="008E6F5E">
      <w:pPr>
        <w:pStyle w:val="Nagwek1"/>
        <w:numPr>
          <w:ilvl w:val="0"/>
          <w:numId w:val="2"/>
        </w:numPr>
      </w:pPr>
      <w:bookmarkStart w:id="6" w:name="_Toc148381064"/>
      <w:r>
        <w:lastRenderedPageBreak/>
        <w:t xml:space="preserve">Założenia architektoniczne API systemu centralnego </w:t>
      </w:r>
      <w:r w:rsidR="00204D15">
        <w:t>Transport GZM</w:t>
      </w:r>
      <w:bookmarkEnd w:id="6"/>
    </w:p>
    <w:p w14:paraId="6FB112CA" w14:textId="77777777" w:rsidR="008E6F5E" w:rsidRPr="008E6F5E" w:rsidRDefault="008E6F5E" w:rsidP="008E6F5E">
      <w:pPr>
        <w:rPr>
          <w:rFonts w:cstheme="minorHAnsi"/>
        </w:rPr>
      </w:pPr>
    </w:p>
    <w:p w14:paraId="43AA120D" w14:textId="249AC0EB" w:rsidR="008E6F5E" w:rsidRPr="008E6F5E" w:rsidRDefault="008E6F5E" w:rsidP="7A82E900">
      <w:pPr>
        <w:pStyle w:val="Akapitzlist"/>
        <w:numPr>
          <w:ilvl w:val="0"/>
          <w:numId w:val="9"/>
        </w:numPr>
        <w:spacing w:after="200" w:line="276" w:lineRule="auto"/>
        <w:ind w:left="357" w:hanging="357"/>
        <w:jc w:val="both"/>
        <w:rPr>
          <w:rStyle w:val="Uwydatnienie"/>
          <w:rFonts w:asciiTheme="minorHAnsi" w:hAnsiTheme="minorHAnsi" w:cstheme="minorBidi"/>
          <w:i w:val="0"/>
        </w:rPr>
      </w:pPr>
      <w:r w:rsidRPr="7A82E900">
        <w:t xml:space="preserve">Usługi API Systemu Centralnego </w:t>
      </w:r>
      <w:r w:rsidR="00204D15" w:rsidRPr="7A82E900">
        <w:t>TG</w:t>
      </w:r>
      <w:r w:rsidR="7C6269B3" w:rsidRPr="7A82E900">
        <w:t>Z</w:t>
      </w:r>
      <w:r w:rsidR="00204D15" w:rsidRPr="7A82E900">
        <w:t>M</w:t>
      </w:r>
      <w:r w:rsidRPr="7A82E900">
        <w:t xml:space="preserve"> zostały zrealizowane w architekturze REST z wykorzystaniem metod: </w:t>
      </w:r>
      <w:r w:rsidRPr="7A82E900">
        <w:rPr>
          <w:rStyle w:val="Uwydatnienie"/>
          <w:rFonts w:asciiTheme="minorHAnsi" w:hAnsiTheme="minorHAnsi" w:cstheme="minorBidi"/>
        </w:rPr>
        <w:t>GET</w:t>
      </w:r>
      <w:r w:rsidRPr="7A82E900">
        <w:t xml:space="preserve">, </w:t>
      </w:r>
      <w:r w:rsidRPr="7A82E900">
        <w:rPr>
          <w:rStyle w:val="Uwydatnienie"/>
          <w:rFonts w:asciiTheme="minorHAnsi" w:hAnsiTheme="minorHAnsi" w:cstheme="minorBidi"/>
        </w:rPr>
        <w:t>POST</w:t>
      </w:r>
      <w:r w:rsidRPr="7A82E900">
        <w:t xml:space="preserve">, </w:t>
      </w:r>
      <w:r w:rsidRPr="7A82E900">
        <w:rPr>
          <w:rStyle w:val="Uwydatnienie"/>
          <w:rFonts w:asciiTheme="minorHAnsi" w:hAnsiTheme="minorHAnsi" w:cstheme="minorBidi"/>
        </w:rPr>
        <w:t>PUT</w:t>
      </w:r>
      <w:r w:rsidRPr="7A82E900">
        <w:t xml:space="preserve">, </w:t>
      </w:r>
      <w:r w:rsidRPr="7A82E900">
        <w:rPr>
          <w:rStyle w:val="Uwydatnienie"/>
          <w:rFonts w:asciiTheme="minorHAnsi" w:hAnsiTheme="minorHAnsi" w:cstheme="minorBidi"/>
        </w:rPr>
        <w:t>DELETE protokołu HTTP (odpowiednio: pobranie, wprowadzenie, modyfikacja i usunięcie danych). Metody zapewniają idempotentność wywołań.</w:t>
      </w:r>
    </w:p>
    <w:p w14:paraId="6E834EC4" w14:textId="6A68232F"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 xml:space="preserve">Dane usługi API </w:t>
      </w:r>
      <w:bookmarkStart w:id="7" w:name="_Hlk510105141"/>
      <w:r w:rsidRPr="008E6F5E">
        <w:rPr>
          <w:rFonts w:cstheme="minorHAnsi"/>
        </w:rPr>
        <w:t xml:space="preserve">(zasób REST + metoda HTTP) </w:t>
      </w:r>
      <w:bookmarkEnd w:id="7"/>
      <w:r w:rsidRPr="008E6F5E">
        <w:rPr>
          <w:rFonts w:cstheme="minorHAnsi"/>
        </w:rPr>
        <w:t>pracują w trybie synchronicznym albo w trybie asynchronicznym. Obsługa metody GET jest zawsze synchroniczna. Dla pozostałych metod HTTP, tryb synchroniczny oznacza wygenerowanie odpowiedzi usługi po zapisaniu/modyfikacji/usunięciu danych w systemie. W trybie asynchronicznym wygenerowanie odpowiedzi oznacza jedynie przyjęcie danych do dalszego przetworzenia w systemie.</w:t>
      </w:r>
    </w:p>
    <w:p w14:paraId="3E71B16F" w14:textId="1EDAD52F"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 xml:space="preserve">Określenie dostępności konkretnej metody HTTP dla danej usługi, trybu pracy usługi (synchroniczny/asynchroniczny) oraz obsługiwane przez usługę adresy zasobów stanowi część szczegółowej specyfikacji API integracyjnego </w:t>
      </w:r>
      <w:r w:rsidR="00204D15">
        <w:rPr>
          <w:rFonts w:cstheme="minorHAnsi"/>
        </w:rPr>
        <w:t>TGZM</w:t>
      </w:r>
      <w:r w:rsidRPr="008E6F5E">
        <w:rPr>
          <w:rFonts w:cstheme="minorHAnsi"/>
        </w:rPr>
        <w:t>.</w:t>
      </w:r>
    </w:p>
    <w:p w14:paraId="2AB0CF75" w14:textId="094EE43C"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 xml:space="preserve">Komunikacja z serwerem udostępniającym API systemu realizowana jest z wykorzystaniem protokołu HTTPS zabezpieczonego </w:t>
      </w:r>
      <w:r>
        <w:rPr>
          <w:rFonts w:cstheme="minorHAnsi"/>
        </w:rPr>
        <w:t xml:space="preserve">co najmniej </w:t>
      </w:r>
      <w:r w:rsidRPr="008E6F5E">
        <w:rPr>
          <w:rFonts w:cstheme="minorHAnsi"/>
        </w:rPr>
        <w:t xml:space="preserve">protokołem TLS 1.2. </w:t>
      </w:r>
    </w:p>
    <w:p w14:paraId="5C139711"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 xml:space="preserve">W API obsługiwane są tylko żądania wysłane na porty HTTPS (443). </w:t>
      </w:r>
    </w:p>
    <w:p w14:paraId="76973FAA"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 xml:space="preserve">Proces uwierzytelnienia realizowany jest przez udostępnioną w ramach API usługę uwierzytelnienia zgodnie ze standardem </w:t>
      </w:r>
      <w:proofErr w:type="spellStart"/>
      <w:r w:rsidRPr="008E6F5E">
        <w:rPr>
          <w:rFonts w:cstheme="minorHAnsi"/>
        </w:rPr>
        <w:t>OAuth</w:t>
      </w:r>
      <w:proofErr w:type="spellEnd"/>
      <w:r w:rsidRPr="008E6F5E">
        <w:rPr>
          <w:rFonts w:cstheme="minorHAnsi"/>
        </w:rPr>
        <w:t xml:space="preserve"> 2.0.</w:t>
      </w:r>
    </w:p>
    <w:p w14:paraId="23724A74"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 xml:space="preserve">Każde wywołanie usługi API wymaga przekazania tokenu autoryzacyjnego ustalonego w procesie uwierzytelnienia. </w:t>
      </w:r>
      <w:proofErr w:type="spellStart"/>
      <w:r w:rsidRPr="008E6F5E">
        <w:rPr>
          <w:rFonts w:cstheme="minorHAnsi"/>
        </w:rPr>
        <w:t>Tokeny</w:t>
      </w:r>
      <w:proofErr w:type="spellEnd"/>
      <w:r w:rsidRPr="008E6F5E">
        <w:rPr>
          <w:rFonts w:cstheme="minorHAnsi"/>
        </w:rPr>
        <w:t xml:space="preserve"> autoryzacyjne są zgodne ze standardem JWT (JSON Web Token). </w:t>
      </w:r>
    </w:p>
    <w:p w14:paraId="729F1AFB"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 xml:space="preserve">Udostępniana w ramach API usługa uwierzytelnienia obsługuje odnawianie tokenu autoryzacyjnego (tzw. </w:t>
      </w:r>
      <w:proofErr w:type="spellStart"/>
      <w:r w:rsidRPr="008E6F5E">
        <w:rPr>
          <w:rFonts w:cstheme="minorHAnsi"/>
        </w:rPr>
        <w:t>refresh</w:t>
      </w:r>
      <w:proofErr w:type="spellEnd"/>
      <w:r w:rsidRPr="008E6F5E">
        <w:rPr>
          <w:rFonts w:cstheme="minorHAnsi"/>
        </w:rPr>
        <w:t xml:space="preserve"> </w:t>
      </w:r>
      <w:proofErr w:type="spellStart"/>
      <w:r w:rsidRPr="008E6F5E">
        <w:rPr>
          <w:rFonts w:cstheme="minorHAnsi"/>
        </w:rPr>
        <w:t>token</w:t>
      </w:r>
      <w:proofErr w:type="spellEnd"/>
      <w:r w:rsidRPr="008E6F5E">
        <w:rPr>
          <w:rFonts w:cstheme="minorHAnsi"/>
        </w:rPr>
        <w:t xml:space="preserve">) </w:t>
      </w:r>
    </w:p>
    <w:p w14:paraId="5CDAFD07"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Każde wywołanie usługi API wymaga przekazania dodatkowych nagłówków: Spo-</w:t>
      </w:r>
      <w:proofErr w:type="spellStart"/>
      <w:r w:rsidRPr="008E6F5E">
        <w:rPr>
          <w:rFonts w:cstheme="minorHAnsi"/>
        </w:rPr>
        <w:t>DeviceId</w:t>
      </w:r>
      <w:proofErr w:type="spellEnd"/>
      <w:r w:rsidRPr="008E6F5E">
        <w:rPr>
          <w:rFonts w:cstheme="minorHAnsi"/>
        </w:rPr>
        <w:t>, Spo-</w:t>
      </w:r>
      <w:proofErr w:type="spellStart"/>
      <w:r w:rsidRPr="008E6F5E">
        <w:rPr>
          <w:rFonts w:cstheme="minorHAnsi"/>
        </w:rPr>
        <w:t>RequestId</w:t>
      </w:r>
      <w:proofErr w:type="spellEnd"/>
      <w:r w:rsidRPr="008E6F5E">
        <w:rPr>
          <w:rFonts w:cstheme="minorHAnsi"/>
        </w:rPr>
        <w:t>, Spo-</w:t>
      </w:r>
      <w:proofErr w:type="spellStart"/>
      <w:r w:rsidRPr="008E6F5E">
        <w:rPr>
          <w:rFonts w:cstheme="minorHAnsi"/>
        </w:rPr>
        <w:t>PreviousRequestId</w:t>
      </w:r>
      <w:proofErr w:type="spellEnd"/>
      <w:r w:rsidRPr="008E6F5E">
        <w:rPr>
          <w:rFonts w:cstheme="minorHAnsi"/>
        </w:rPr>
        <w:t xml:space="preserve"> wykorzystywanych do zapewnienia idempotentności usług oraz kontroli kompletności odebranych wywołań usług. Spo-</w:t>
      </w:r>
      <w:proofErr w:type="spellStart"/>
      <w:r w:rsidRPr="008E6F5E">
        <w:rPr>
          <w:rFonts w:cstheme="minorHAnsi"/>
        </w:rPr>
        <w:t>DeviceId</w:t>
      </w:r>
      <w:proofErr w:type="spellEnd"/>
      <w:r w:rsidRPr="008E6F5E">
        <w:rPr>
          <w:rFonts w:cstheme="minorHAnsi"/>
        </w:rPr>
        <w:t xml:space="preserve"> jest jednoznacznym identyfikatorem urządzenia komunikującego się z systemem, Spo-</w:t>
      </w:r>
      <w:proofErr w:type="spellStart"/>
      <w:r w:rsidRPr="008E6F5E">
        <w:rPr>
          <w:rFonts w:cstheme="minorHAnsi"/>
        </w:rPr>
        <w:t>RequestId</w:t>
      </w:r>
      <w:proofErr w:type="spellEnd"/>
      <w:r w:rsidRPr="008E6F5E">
        <w:rPr>
          <w:rFonts w:cstheme="minorHAnsi"/>
        </w:rPr>
        <w:t xml:space="preserve"> jednoznacznie identyfikuje zapytania do systemu w kontekście konkretnego urządzenia, natomiast Spo-</w:t>
      </w:r>
      <w:proofErr w:type="spellStart"/>
      <w:r w:rsidRPr="008E6F5E">
        <w:rPr>
          <w:rFonts w:cstheme="minorHAnsi"/>
        </w:rPr>
        <w:t>PreviousRequestId</w:t>
      </w:r>
      <w:proofErr w:type="spellEnd"/>
      <w:r w:rsidRPr="008E6F5E">
        <w:rPr>
          <w:rFonts w:cstheme="minorHAnsi"/>
        </w:rPr>
        <w:t xml:space="preserve"> wskazuje wywołanie, które było przekazane jako poprzednie.</w:t>
      </w:r>
    </w:p>
    <w:p w14:paraId="5829DA78" w14:textId="370485E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Usługi API są wersjonowane. Wszelkie ich zmiany łamiące kompatybilność wsteczną wprowadzane są w nowych wersjach metod. Wywołując metodę należy w URI podać numer wersji zasobu</w:t>
      </w:r>
      <w:bookmarkStart w:id="8" w:name="_Toc510057231"/>
      <w:r w:rsidRPr="008E6F5E">
        <w:rPr>
          <w:rFonts w:cstheme="minorHAnsi"/>
        </w:rPr>
        <w:t>.</w:t>
      </w:r>
    </w:p>
    <w:p w14:paraId="58AF2122"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W ramach wywołań usług API obsługiwane są określone parametry zapytania REST</w:t>
      </w:r>
      <w:bookmarkEnd w:id="8"/>
      <w:r w:rsidRPr="008E6F5E">
        <w:rPr>
          <w:rFonts w:cstheme="minorHAnsi"/>
        </w:rPr>
        <w:t>.</w:t>
      </w:r>
    </w:p>
    <w:p w14:paraId="5196F2A3" w14:textId="1FC5D85F" w:rsidR="008E6F5E" w:rsidRPr="008E6F5E" w:rsidRDefault="008E6F5E" w:rsidP="7A82E900">
      <w:pPr>
        <w:pStyle w:val="Akapitzlist"/>
        <w:numPr>
          <w:ilvl w:val="0"/>
          <w:numId w:val="9"/>
        </w:numPr>
        <w:spacing w:after="200" w:line="276" w:lineRule="auto"/>
        <w:ind w:left="357" w:hanging="357"/>
        <w:jc w:val="both"/>
      </w:pPr>
      <w:r w:rsidRPr="7A82E900">
        <w:t xml:space="preserve">Przez parametry zapytania REST rozumiane są parametry wywołania REST przekazywane w URI po nazwie </w:t>
      </w:r>
      <w:proofErr w:type="spellStart"/>
      <w:r w:rsidRPr="7A82E900">
        <w:t>endpoint</w:t>
      </w:r>
      <w:proofErr w:type="spellEnd"/>
      <w:r w:rsidRPr="7A82E900">
        <w:t xml:space="preserve"> i znaku ‘?’. Poszczególne parametry rozdzielane są znakiem ‘&amp;’, kolejność parametrów nie jest istotna</w:t>
      </w:r>
      <w:r w:rsidR="7A52046A" w:rsidRPr="7A82E900">
        <w:t>.</w:t>
      </w:r>
    </w:p>
    <w:p w14:paraId="26E73687" w14:textId="422A77B0" w:rsidR="008E6F5E" w:rsidRPr="008E6F5E" w:rsidRDefault="008E6F5E" w:rsidP="7A82E900">
      <w:pPr>
        <w:pStyle w:val="Akapitzlist"/>
        <w:numPr>
          <w:ilvl w:val="0"/>
          <w:numId w:val="9"/>
        </w:numPr>
        <w:spacing w:after="200" w:line="276" w:lineRule="auto"/>
        <w:ind w:left="357" w:hanging="357"/>
        <w:jc w:val="both"/>
      </w:pPr>
      <w:r w:rsidRPr="7A82E900">
        <w:t>Podanie w wywołaniu nieobsługiwanych nazw parametrów powoduje zwrócenie błędu</w:t>
      </w:r>
      <w:r w:rsidR="3DAF4B68" w:rsidRPr="7A82E900">
        <w:t>.</w:t>
      </w:r>
      <w:r w:rsidRPr="7A82E900">
        <w:t xml:space="preserve"> </w:t>
      </w:r>
    </w:p>
    <w:p w14:paraId="0F238E52"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Ze względu na przeznaczenie rozróżnia się następujące rodzaje obsługiwanych parametrów:</w:t>
      </w:r>
    </w:p>
    <w:p w14:paraId="621798E2" w14:textId="2982AD41" w:rsidR="008E6F5E" w:rsidRPr="008E6F5E" w:rsidRDefault="008E6F5E" w:rsidP="7A82E900">
      <w:pPr>
        <w:pStyle w:val="Akapitzlist"/>
        <w:numPr>
          <w:ilvl w:val="1"/>
          <w:numId w:val="9"/>
        </w:numPr>
        <w:spacing w:after="200" w:line="276" w:lineRule="auto"/>
        <w:ind w:left="720" w:hanging="252"/>
        <w:jc w:val="both"/>
      </w:pPr>
      <w:r w:rsidRPr="7A82E900">
        <w:t>Parametry filtracji (ograniczają wielkość zwracanych kolekcji obiektów do spełniających warunek filtrowania)</w:t>
      </w:r>
      <w:r w:rsidR="1E141DAB" w:rsidRPr="7A82E900">
        <w:t>.</w:t>
      </w:r>
    </w:p>
    <w:p w14:paraId="3E50FFAD" w14:textId="0370CFB6" w:rsidR="008E6F5E" w:rsidRPr="008E6F5E" w:rsidRDefault="008E6F5E" w:rsidP="7A82E900">
      <w:pPr>
        <w:pStyle w:val="Akapitzlist"/>
        <w:numPr>
          <w:ilvl w:val="1"/>
          <w:numId w:val="9"/>
        </w:numPr>
        <w:spacing w:after="200" w:line="276" w:lineRule="auto"/>
        <w:ind w:left="720" w:hanging="252"/>
        <w:jc w:val="both"/>
      </w:pPr>
      <w:r w:rsidRPr="7A82E900">
        <w:lastRenderedPageBreak/>
        <w:t>Parametry sortowania (wskazują porządek sortowania zwracanych kolekcji obiektów)</w:t>
      </w:r>
      <w:r w:rsidR="093D93F9" w:rsidRPr="7A82E900">
        <w:t>.</w:t>
      </w:r>
    </w:p>
    <w:p w14:paraId="446D6710" w14:textId="5C13B52A" w:rsidR="008E6F5E" w:rsidRPr="008E6F5E" w:rsidRDefault="008E6F5E" w:rsidP="7A82E900">
      <w:pPr>
        <w:pStyle w:val="Akapitzlist"/>
        <w:numPr>
          <w:ilvl w:val="1"/>
          <w:numId w:val="9"/>
        </w:numPr>
        <w:spacing w:after="200" w:line="276" w:lineRule="auto"/>
        <w:ind w:left="720" w:hanging="252"/>
        <w:jc w:val="both"/>
      </w:pPr>
      <w:r w:rsidRPr="7A82E900">
        <w:t>Parametry stronicowania (wskazują sposób porcjowania zwracanych kolekcji obiektów)</w:t>
      </w:r>
      <w:r w:rsidR="78DB90D2" w:rsidRPr="7A82E900">
        <w:t>.</w:t>
      </w:r>
      <w:bookmarkStart w:id="9" w:name="_Toc510057236"/>
    </w:p>
    <w:bookmarkEnd w:id="9"/>
    <w:p w14:paraId="3417BB23" w14:textId="33641770" w:rsidR="008E6F5E" w:rsidRPr="008E6F5E" w:rsidRDefault="008E6F5E" w:rsidP="7A82E900">
      <w:pPr>
        <w:pStyle w:val="Akapitzlist"/>
        <w:numPr>
          <w:ilvl w:val="1"/>
          <w:numId w:val="9"/>
        </w:numPr>
        <w:spacing w:after="200" w:line="276" w:lineRule="auto"/>
        <w:ind w:left="720" w:hanging="252"/>
        <w:jc w:val="both"/>
      </w:pPr>
      <w:r w:rsidRPr="7A82E900">
        <w:t>Parametry biznesowe (inne parametry wywołania – co do zasady tylko dla POST)</w:t>
      </w:r>
      <w:r w:rsidR="06BF7573" w:rsidRPr="7A82E900">
        <w:t>.</w:t>
      </w:r>
    </w:p>
    <w:p w14:paraId="0D72FDE4" w14:textId="757151EC" w:rsidR="008E6F5E" w:rsidRPr="008E6F5E" w:rsidRDefault="00D812C8" w:rsidP="7A82E900">
      <w:pPr>
        <w:pStyle w:val="Akapitzlist"/>
        <w:numPr>
          <w:ilvl w:val="0"/>
          <w:numId w:val="9"/>
        </w:numPr>
        <w:spacing w:after="200" w:line="276" w:lineRule="auto"/>
        <w:ind w:left="284" w:hanging="284"/>
        <w:jc w:val="both"/>
      </w:pPr>
      <w:r w:rsidRPr="7A82E900">
        <w:t xml:space="preserve"> </w:t>
      </w:r>
      <w:r w:rsidR="008E6F5E" w:rsidRPr="7A82E900">
        <w:t>Sortowanie przeprowadzane jest na kolekcji wcześniej odfiltrowanej, zaś stronicowanie na kolekcji wcześniej odfiltrowanej i posortowanej</w:t>
      </w:r>
      <w:r w:rsidR="006B1A40" w:rsidRPr="7A82E900">
        <w:t>.</w:t>
      </w:r>
    </w:p>
    <w:p w14:paraId="0F82D4F2" w14:textId="66125A67" w:rsidR="008E6F5E" w:rsidRPr="008E6F5E" w:rsidRDefault="00D812C8" w:rsidP="7A82E900">
      <w:pPr>
        <w:pStyle w:val="Akapitzlist"/>
        <w:numPr>
          <w:ilvl w:val="0"/>
          <w:numId w:val="9"/>
        </w:numPr>
        <w:spacing w:after="200" w:line="276" w:lineRule="auto"/>
        <w:ind w:left="284" w:hanging="284"/>
        <w:jc w:val="both"/>
      </w:pPr>
      <w:r w:rsidRPr="7A82E900">
        <w:t xml:space="preserve"> </w:t>
      </w:r>
      <w:r w:rsidR="008E6F5E" w:rsidRPr="7A82E900">
        <w:t xml:space="preserve">W wyniku sortowania wraz z danymi kolekcji zwracane są </w:t>
      </w:r>
      <w:proofErr w:type="spellStart"/>
      <w:r w:rsidR="008E6F5E" w:rsidRPr="7A82E900">
        <w:t>hiperlinki</w:t>
      </w:r>
      <w:proofErr w:type="spellEnd"/>
      <w:r w:rsidR="008E6F5E" w:rsidRPr="7A82E900">
        <w:t xml:space="preserve"> dedykowane nawigowaniu</w:t>
      </w:r>
      <w:r w:rsidRPr="7A82E900">
        <w:t xml:space="preserve"> </w:t>
      </w:r>
      <w:r w:rsidR="008E6F5E" w:rsidRPr="7A82E900">
        <w:t>między stronami danych</w:t>
      </w:r>
      <w:r w:rsidR="248AD066" w:rsidRPr="7A82E900">
        <w:t>.</w:t>
      </w:r>
    </w:p>
    <w:p w14:paraId="292FF579"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 xml:space="preserve">Wszystkie wywołania i odpowiedzi powinny być przekazane w kodowaniu UTF-8. </w:t>
      </w:r>
    </w:p>
    <w:p w14:paraId="2FE8E738"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Wszystkie dane, wysyłane i odbierane z serwera (kontent) są w formacie JSON i kodowaniu UTF-8 (</w:t>
      </w:r>
      <w:proofErr w:type="spellStart"/>
      <w:r w:rsidRPr="008E6F5E">
        <w:rPr>
          <w:rFonts w:cstheme="minorHAnsi"/>
        </w:rPr>
        <w:t>charset</w:t>
      </w:r>
      <w:proofErr w:type="spellEnd"/>
      <w:r w:rsidRPr="008E6F5E">
        <w:rPr>
          <w:rFonts w:cstheme="minorHAnsi"/>
        </w:rPr>
        <w:t xml:space="preserve">=utf-8). Do przekazywania informacji w zakresie </w:t>
      </w:r>
      <w:proofErr w:type="spellStart"/>
      <w:r w:rsidRPr="008E6F5E">
        <w:rPr>
          <w:rFonts w:cstheme="minorHAnsi"/>
        </w:rPr>
        <w:t>hiperlinków</w:t>
      </w:r>
      <w:proofErr w:type="spellEnd"/>
      <w:r w:rsidRPr="008E6F5E">
        <w:rPr>
          <w:rFonts w:cstheme="minorHAnsi"/>
        </w:rPr>
        <w:t xml:space="preserve"> wykorzystywany jest standard HAL.</w:t>
      </w:r>
    </w:p>
    <w:p w14:paraId="14FB1508"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 xml:space="preserve">Każda odpowiedź HTTP zawiera m.in. nagłówki </w:t>
      </w:r>
      <w:proofErr w:type="spellStart"/>
      <w:r w:rsidRPr="008E6F5E">
        <w:rPr>
          <w:rFonts w:cstheme="minorHAnsi"/>
        </w:rPr>
        <w:t>Span</w:t>
      </w:r>
      <w:proofErr w:type="spellEnd"/>
      <w:r w:rsidRPr="008E6F5E">
        <w:rPr>
          <w:rFonts w:cstheme="minorHAnsi"/>
        </w:rPr>
        <w:t xml:space="preserve">-Id i </w:t>
      </w:r>
      <w:proofErr w:type="spellStart"/>
      <w:r w:rsidRPr="008E6F5E">
        <w:rPr>
          <w:rFonts w:cstheme="minorHAnsi"/>
        </w:rPr>
        <w:t>Trace</w:t>
      </w:r>
      <w:proofErr w:type="spellEnd"/>
      <w:r w:rsidRPr="008E6F5E">
        <w:rPr>
          <w:rFonts w:cstheme="minorHAnsi"/>
        </w:rPr>
        <w:t xml:space="preserve">-Id , których wartości jednoznacznie identyfikują zapytanie HTTP klienta oraz proces obejmujący zestaw wywołań usług API. Spinanie zestawu usług w jeden proces leży po stronie klienta usług – w kolejnych </w:t>
      </w:r>
      <w:proofErr w:type="spellStart"/>
      <w:r w:rsidRPr="008E6F5E">
        <w:rPr>
          <w:rFonts w:cstheme="minorHAnsi"/>
        </w:rPr>
        <w:t>wywołaniach</w:t>
      </w:r>
      <w:proofErr w:type="spellEnd"/>
      <w:r w:rsidRPr="008E6F5E">
        <w:rPr>
          <w:rFonts w:cstheme="minorHAnsi"/>
        </w:rPr>
        <w:t xml:space="preserve"> HTTP powinna być przekazywana wartość nagłówka </w:t>
      </w:r>
      <w:proofErr w:type="spellStart"/>
      <w:r w:rsidRPr="008E6F5E">
        <w:rPr>
          <w:rFonts w:cstheme="minorHAnsi"/>
        </w:rPr>
        <w:t>Trace</w:t>
      </w:r>
      <w:proofErr w:type="spellEnd"/>
      <w:r w:rsidRPr="008E6F5E">
        <w:rPr>
          <w:rFonts w:cstheme="minorHAnsi"/>
        </w:rPr>
        <w:t>-Id uzyskana z informacji zwrotnej pierwszego wywołania HTTP w ramach procesu</w:t>
      </w:r>
      <w:bookmarkStart w:id="10" w:name="_Toc510057237"/>
      <w:r w:rsidRPr="008E6F5E">
        <w:rPr>
          <w:rFonts w:cstheme="minorHAnsi"/>
        </w:rPr>
        <w:t>.</w:t>
      </w:r>
    </w:p>
    <w:bookmarkEnd w:id="10"/>
    <w:p w14:paraId="7F628488"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 xml:space="preserve">Wszystkie używane w </w:t>
      </w:r>
      <w:proofErr w:type="spellStart"/>
      <w:r w:rsidRPr="008E6F5E">
        <w:rPr>
          <w:rFonts w:cstheme="minorHAnsi"/>
        </w:rPr>
        <w:t>kontencie</w:t>
      </w:r>
      <w:proofErr w:type="spellEnd"/>
      <w:r w:rsidRPr="008E6F5E">
        <w:rPr>
          <w:rFonts w:cstheme="minorHAnsi"/>
        </w:rPr>
        <w:t xml:space="preserve"> wartości daty i czasu prezentowane są w standardzie ISO 8601: </w:t>
      </w:r>
      <w:proofErr w:type="spellStart"/>
      <w:r w:rsidRPr="008E6F5E">
        <w:rPr>
          <w:rFonts w:cstheme="minorHAnsi"/>
        </w:rPr>
        <w:t>yyyy-mm-ddThh:mm:ss.sss±hh:mm</w:t>
      </w:r>
      <w:proofErr w:type="spellEnd"/>
      <w:r w:rsidRPr="008E6F5E">
        <w:rPr>
          <w:rFonts w:cstheme="minorHAnsi"/>
        </w:rPr>
        <w:t xml:space="preserve"> lub  </w:t>
      </w:r>
      <w:proofErr w:type="spellStart"/>
      <w:r w:rsidRPr="008E6F5E">
        <w:rPr>
          <w:rFonts w:cstheme="minorHAnsi"/>
        </w:rPr>
        <w:t>yyyy-mm-ddThh:mm:ss.sssZ</w:t>
      </w:r>
      <w:proofErr w:type="spellEnd"/>
      <w:r w:rsidRPr="008E6F5E">
        <w:rPr>
          <w:rFonts w:cstheme="minorHAnsi"/>
        </w:rPr>
        <w:t>.</w:t>
      </w:r>
    </w:p>
    <w:p w14:paraId="01835131" w14:textId="77777777" w:rsidR="008E6F5E" w:rsidRP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Wszystkie używane w treści wartości numeryczne wykorzystują „.” (kropka) jako delimiter dziesiętny i nie wykorzystują separatora tysięcy.</w:t>
      </w:r>
      <w:bookmarkStart w:id="11" w:name="_Toc510057239"/>
    </w:p>
    <w:bookmarkEnd w:id="11"/>
    <w:p w14:paraId="25CE7AFA" w14:textId="77777777" w:rsidR="008E6F5E" w:rsidRDefault="008E6F5E" w:rsidP="008E6F5E">
      <w:pPr>
        <w:pStyle w:val="Akapitzlist"/>
        <w:numPr>
          <w:ilvl w:val="0"/>
          <w:numId w:val="9"/>
        </w:numPr>
        <w:spacing w:after="200" w:line="276" w:lineRule="auto"/>
        <w:ind w:left="357" w:hanging="357"/>
        <w:jc w:val="both"/>
        <w:rPr>
          <w:rFonts w:cstheme="minorHAnsi"/>
        </w:rPr>
      </w:pPr>
      <w:r w:rsidRPr="008E6F5E">
        <w:rPr>
          <w:rFonts w:cstheme="minorHAnsi"/>
        </w:rPr>
        <w:t>W razie wystąpienia błędów wykorzystywany jest ogólny mechanizm zwracania błędów zdefiniowany dla protokołu HTTP oraz dodatkowa specyfikacja błędów w treści odpowiedzi.</w:t>
      </w:r>
    </w:p>
    <w:p w14:paraId="063CF6D5" w14:textId="6BD5F9A1" w:rsidR="00177F3C" w:rsidRDefault="00420AF1" w:rsidP="00420AF1">
      <w:pPr>
        <w:spacing w:line="259" w:lineRule="auto"/>
        <w:rPr>
          <w:rFonts w:cstheme="minorHAnsi"/>
        </w:rPr>
      </w:pPr>
      <w:r>
        <w:rPr>
          <w:rFonts w:cstheme="minorHAnsi"/>
        </w:rPr>
        <w:br w:type="page"/>
      </w:r>
    </w:p>
    <w:sectPr w:rsidR="00177F3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EAC4A" w14:textId="77777777" w:rsidR="00966E1D" w:rsidRDefault="00966E1D" w:rsidP="000574CD">
      <w:pPr>
        <w:spacing w:after="0" w:line="240" w:lineRule="auto"/>
      </w:pPr>
      <w:r>
        <w:separator/>
      </w:r>
    </w:p>
  </w:endnote>
  <w:endnote w:type="continuationSeparator" w:id="0">
    <w:p w14:paraId="3A93BE9A" w14:textId="77777777" w:rsidR="00966E1D" w:rsidRDefault="00966E1D" w:rsidP="000574CD">
      <w:pPr>
        <w:spacing w:after="0" w:line="240" w:lineRule="auto"/>
      </w:pPr>
      <w:r>
        <w:continuationSeparator/>
      </w:r>
    </w:p>
  </w:endnote>
  <w:endnote w:type="continuationNotice" w:id="1">
    <w:p w14:paraId="2A69715B" w14:textId="77777777" w:rsidR="008801D6" w:rsidRDefault="00880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FFAB" w14:textId="3E15AC29" w:rsidR="00A91F9E" w:rsidRDefault="00A91F9E">
    <w:pPr>
      <w:pStyle w:val="Stopka"/>
    </w:pPr>
  </w:p>
  <w:tbl>
    <w:tblPr>
      <w:tblW w:w="10230" w:type="dxa"/>
      <w:jc w:val="center"/>
      <w:tblLayout w:type="fixed"/>
      <w:tblCellMar>
        <w:left w:w="71" w:type="dxa"/>
        <w:right w:w="71" w:type="dxa"/>
      </w:tblCellMar>
      <w:tblLook w:val="04A0" w:firstRow="1" w:lastRow="0" w:firstColumn="1" w:lastColumn="0" w:noHBand="0" w:noVBand="1"/>
    </w:tblPr>
    <w:tblGrid>
      <w:gridCol w:w="3688"/>
      <w:gridCol w:w="3444"/>
      <w:gridCol w:w="3098"/>
    </w:tblGrid>
    <w:tr w:rsidR="00A91F9E" w14:paraId="5654F6BF" w14:textId="77777777" w:rsidTr="00A91F9E">
      <w:trPr>
        <w:jc w:val="center"/>
      </w:trPr>
      <w:tc>
        <w:tcPr>
          <w:tcW w:w="3686" w:type="dxa"/>
          <w:hideMark/>
        </w:tcPr>
        <w:p w14:paraId="0A1D20C9" w14:textId="65E7CBEE" w:rsidR="00A91F9E" w:rsidRDefault="00A91F9E" w:rsidP="00A91F9E">
          <w:pPr>
            <w:keepNext/>
            <w:keepLines/>
            <w:spacing w:before="60" w:after="20"/>
            <w:rPr>
              <w:sz w:val="18"/>
            </w:rPr>
          </w:pPr>
          <w:bookmarkStart w:id="12" w:name="hp_Footer"/>
          <w:r>
            <w:rPr>
              <w:sz w:val="18"/>
            </w:rPr>
            <w:t>Platforma integracyjna systemu Transport GZM</w:t>
          </w:r>
          <w:r w:rsidR="00943B7D">
            <w:rPr>
              <w:sz w:val="18"/>
            </w:rPr>
            <w:t>: Biletomaty</w:t>
          </w:r>
        </w:p>
      </w:tc>
      <w:tc>
        <w:tcPr>
          <w:tcW w:w="3442" w:type="dxa"/>
        </w:tcPr>
        <w:p w14:paraId="1A7F7472" w14:textId="77777777" w:rsidR="00A91F9E" w:rsidRDefault="00A91F9E" w:rsidP="00A91F9E">
          <w:pPr>
            <w:pStyle w:val="Table"/>
            <w:spacing w:before="60" w:after="20"/>
            <w:rPr>
              <w:i/>
            </w:rPr>
          </w:pPr>
        </w:p>
      </w:tc>
      <w:tc>
        <w:tcPr>
          <w:tcW w:w="3096" w:type="dxa"/>
          <w:hideMark/>
        </w:tcPr>
        <w:p w14:paraId="26A30073" w14:textId="77777777" w:rsidR="00A91F9E" w:rsidRDefault="00A91F9E" w:rsidP="00A91F9E">
          <w:pPr>
            <w:spacing w:before="60" w:after="20"/>
            <w:jc w:val="right"/>
            <w:rPr>
              <w:sz w:val="18"/>
            </w:rPr>
          </w:pPr>
          <w:r>
            <w:rPr>
              <w:sz w:val="18"/>
            </w:rPr>
            <w:t xml:space="preserve">Strona </w:t>
          </w:r>
          <w:r>
            <w:fldChar w:fldCharType="begin"/>
          </w:r>
          <w:r>
            <w:rPr>
              <w:sz w:val="18"/>
            </w:rPr>
            <w:instrText xml:space="preserve"> PAGE  \* MERGEFORMAT </w:instrText>
          </w:r>
          <w:r>
            <w:fldChar w:fldCharType="separate"/>
          </w:r>
          <w:r>
            <w:rPr>
              <w:noProof/>
              <w:sz w:val="18"/>
            </w:rPr>
            <w:t>2</w:t>
          </w:r>
          <w:r>
            <w:fldChar w:fldCharType="end"/>
          </w:r>
          <w:r>
            <w:rPr>
              <w:sz w:val="18"/>
            </w:rPr>
            <w:t xml:space="preserve"> z </w:t>
          </w:r>
          <w:r>
            <w:fldChar w:fldCharType="begin"/>
          </w:r>
          <w:r>
            <w:rPr>
              <w:noProof/>
              <w:sz w:val="18"/>
            </w:rPr>
            <w:instrText xml:space="preserve"> NUMPAGES  \* MERGEFORMAT </w:instrText>
          </w:r>
          <w:r>
            <w:fldChar w:fldCharType="separate"/>
          </w:r>
          <w:r>
            <w:rPr>
              <w:noProof/>
              <w:sz w:val="18"/>
            </w:rPr>
            <w:t>114</w:t>
          </w:r>
          <w:r>
            <w:fldChar w:fldCharType="end"/>
          </w:r>
        </w:p>
      </w:tc>
    </w:tr>
    <w:tr w:rsidR="00A91F9E" w14:paraId="2D27C0FA" w14:textId="77777777" w:rsidTr="00A91F9E">
      <w:trPr>
        <w:jc w:val="center"/>
      </w:trPr>
      <w:tc>
        <w:tcPr>
          <w:tcW w:w="10224" w:type="dxa"/>
          <w:gridSpan w:val="3"/>
          <w:tcBorders>
            <w:top w:val="single" w:sz="12" w:space="0" w:color="auto"/>
            <w:left w:val="nil"/>
            <w:bottom w:val="nil"/>
            <w:right w:val="nil"/>
          </w:tcBorders>
          <w:hideMark/>
        </w:tcPr>
        <w:p w14:paraId="148AD55B" w14:textId="194B0BAE" w:rsidR="00A91F9E" w:rsidRPr="00A91F9E" w:rsidRDefault="00A91F9E" w:rsidP="00A91F9E">
          <w:pPr>
            <w:pStyle w:val="TableSmallRight"/>
            <w:rPr>
              <w:rStyle w:val="Uwydatnienie"/>
              <w:iCs/>
            </w:rPr>
          </w:pPr>
          <w:r>
            <w:rPr>
              <w:rStyle w:val="Uwydatnienie"/>
              <w:iCs/>
            </w:rPr>
            <w:tab/>
            <w:t xml:space="preserve">Integracja </w:t>
          </w:r>
          <w:r w:rsidR="00526C2F">
            <w:rPr>
              <w:rStyle w:val="Uwydatnienie"/>
              <w:iCs/>
            </w:rPr>
            <w:t>TGZM</w:t>
          </w:r>
        </w:p>
      </w:tc>
      <w:bookmarkEnd w:id="12"/>
    </w:tr>
  </w:tbl>
  <w:p w14:paraId="7FF62398" w14:textId="359F5F3E" w:rsidR="00A91F9E" w:rsidRDefault="00A91F9E">
    <w:pPr>
      <w:pStyle w:val="Stopka"/>
    </w:pPr>
  </w:p>
  <w:p w14:paraId="7F3A7957" w14:textId="77777777" w:rsidR="00A91F9E" w:rsidRDefault="00A91F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BCDE3" w14:textId="77777777" w:rsidR="00966E1D" w:rsidRDefault="00966E1D" w:rsidP="000574CD">
      <w:pPr>
        <w:spacing w:after="0" w:line="240" w:lineRule="auto"/>
      </w:pPr>
      <w:r>
        <w:separator/>
      </w:r>
    </w:p>
  </w:footnote>
  <w:footnote w:type="continuationSeparator" w:id="0">
    <w:p w14:paraId="4D3C953F" w14:textId="77777777" w:rsidR="00966E1D" w:rsidRDefault="00966E1D" w:rsidP="000574CD">
      <w:pPr>
        <w:spacing w:after="0" w:line="240" w:lineRule="auto"/>
      </w:pPr>
      <w:r>
        <w:continuationSeparator/>
      </w:r>
    </w:p>
  </w:footnote>
  <w:footnote w:type="continuationNotice" w:id="1">
    <w:p w14:paraId="39E2AB2A" w14:textId="77777777" w:rsidR="008801D6" w:rsidRDefault="008801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DF84" w14:textId="7CA1C3C2" w:rsidR="000574CD" w:rsidRDefault="000574CD">
    <w:pPr>
      <w:pStyle w:val="Nagwek"/>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3"/>
      <w:gridCol w:w="4866"/>
      <w:gridCol w:w="840"/>
      <w:gridCol w:w="1276"/>
    </w:tblGrid>
    <w:tr w:rsidR="000574CD" w14:paraId="55D3EF0A" w14:textId="77777777" w:rsidTr="003220D9">
      <w:trPr>
        <w:cantSplit/>
        <w:trHeight w:val="419"/>
        <w:jc w:val="center"/>
      </w:trPr>
      <w:tc>
        <w:tcPr>
          <w:tcW w:w="2453" w:type="dxa"/>
          <w:tcBorders>
            <w:top w:val="single" w:sz="4" w:space="0" w:color="auto"/>
            <w:left w:val="single" w:sz="4" w:space="0" w:color="auto"/>
            <w:bottom w:val="single" w:sz="4" w:space="0" w:color="auto"/>
            <w:right w:val="single" w:sz="4" w:space="0" w:color="auto"/>
          </w:tcBorders>
          <w:vAlign w:val="center"/>
          <w:hideMark/>
        </w:tcPr>
        <w:p w14:paraId="2D4E8C73" w14:textId="1A82A495" w:rsidR="000574CD" w:rsidRDefault="003220D9" w:rsidP="000574CD">
          <w:pPr>
            <w:spacing w:after="0" w:line="240" w:lineRule="auto"/>
          </w:pPr>
          <w:r>
            <w:rPr>
              <w:noProof/>
              <w14:ligatures w14:val="none"/>
            </w:rPr>
            <w:drawing>
              <wp:inline distT="0" distB="0" distL="0" distR="0" wp14:anchorId="20F0B2D6" wp14:editId="4D0972E4">
                <wp:extent cx="1082675" cy="541020"/>
                <wp:effectExtent l="0" t="0" r="0" b="0"/>
                <wp:docPr id="2" name="Obraz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675" cy="541020"/>
                        </a:xfrm>
                        <a:prstGeom prst="rect">
                          <a:avLst/>
                        </a:prstGeom>
                        <a:noFill/>
                        <a:ln>
                          <a:noFill/>
                        </a:ln>
                      </pic:spPr>
                    </pic:pic>
                  </a:graphicData>
                </a:graphic>
              </wp:inline>
            </w:drawing>
          </w:r>
        </w:p>
      </w:tc>
      <w:tc>
        <w:tcPr>
          <w:tcW w:w="4866" w:type="dxa"/>
          <w:tcBorders>
            <w:top w:val="single" w:sz="4" w:space="0" w:color="auto"/>
            <w:left w:val="single" w:sz="4" w:space="0" w:color="auto"/>
            <w:bottom w:val="single" w:sz="4" w:space="0" w:color="auto"/>
            <w:right w:val="single" w:sz="4" w:space="0" w:color="auto"/>
          </w:tcBorders>
          <w:vAlign w:val="center"/>
          <w:hideMark/>
        </w:tcPr>
        <w:p w14:paraId="396EDE23" w14:textId="10680241" w:rsidR="000574CD" w:rsidRPr="000574CD" w:rsidRDefault="000574CD" w:rsidP="003220D9">
          <w:pPr>
            <w:pStyle w:val="Akapitzlist"/>
            <w:spacing w:before="120" w:line="360" w:lineRule="auto"/>
            <w:rPr>
              <w:b/>
              <w:bCs/>
              <w:sz w:val="18"/>
              <w:szCs w:val="18"/>
            </w:rPr>
          </w:pPr>
          <w:r>
            <w:rPr>
              <w:b/>
              <w:bCs/>
              <w:sz w:val="18"/>
              <w:szCs w:val="18"/>
            </w:rPr>
            <w:t xml:space="preserve">Platforma integracyjna dla </w:t>
          </w:r>
          <w:r w:rsidR="003B3BC1">
            <w:rPr>
              <w:b/>
              <w:bCs/>
              <w:sz w:val="18"/>
              <w:szCs w:val="18"/>
            </w:rPr>
            <w:t xml:space="preserve">automatów biletowych </w:t>
          </w:r>
        </w:p>
      </w:tc>
      <w:tc>
        <w:tcPr>
          <w:tcW w:w="840" w:type="dxa"/>
          <w:tcBorders>
            <w:top w:val="single" w:sz="4" w:space="0" w:color="auto"/>
            <w:left w:val="single" w:sz="4" w:space="0" w:color="auto"/>
            <w:bottom w:val="single" w:sz="4" w:space="0" w:color="auto"/>
            <w:right w:val="single" w:sz="4" w:space="0" w:color="auto"/>
          </w:tcBorders>
          <w:vAlign w:val="center"/>
          <w:hideMark/>
        </w:tcPr>
        <w:p w14:paraId="6D4CADB1" w14:textId="749B3992" w:rsidR="000574CD" w:rsidRDefault="000574CD" w:rsidP="000574CD">
          <w:pPr>
            <w:rPr>
              <w:sz w:val="18"/>
              <w:szCs w:val="18"/>
            </w:rPr>
          </w:pPr>
          <w:r>
            <w:rPr>
              <w:sz w:val="18"/>
              <w:szCs w:val="18"/>
            </w:rPr>
            <w:t>Wersja:</w:t>
          </w:r>
          <w:r w:rsidR="003B3BC1">
            <w:rPr>
              <w:sz w:val="18"/>
              <w:szCs w:val="18"/>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B05C5B" w14:textId="4572C2D4" w:rsidR="000574CD" w:rsidRDefault="000574CD" w:rsidP="000574CD">
          <w:pPr>
            <w:ind w:right="110"/>
            <w:jc w:val="center"/>
            <w:rPr>
              <w:b/>
              <w:sz w:val="18"/>
              <w:szCs w:val="18"/>
            </w:rPr>
          </w:pPr>
          <w:r>
            <w:rPr>
              <w:sz w:val="18"/>
              <w:szCs w:val="18"/>
            </w:rPr>
            <w:t>1.0</w:t>
          </w:r>
          <w:r w:rsidR="009A7F14">
            <w:rPr>
              <w:sz w:val="18"/>
              <w:szCs w:val="18"/>
            </w:rPr>
            <w:t>2</w:t>
          </w:r>
        </w:p>
      </w:tc>
    </w:tr>
  </w:tbl>
  <w:p w14:paraId="601049E4" w14:textId="1D2702C3" w:rsidR="000574CD" w:rsidRDefault="000574CD">
    <w:pPr>
      <w:pStyle w:val="Nagwek"/>
    </w:pPr>
  </w:p>
  <w:p w14:paraId="2F647A8D" w14:textId="77777777" w:rsidR="000574CD" w:rsidRDefault="000574C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10EC"/>
    <w:multiLevelType w:val="multilevel"/>
    <w:tmpl w:val="2284A9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color w:val="2F5496" w:themeColor="accent1" w:themeShade="BF"/>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9C86A54"/>
    <w:multiLevelType w:val="hybridMultilevel"/>
    <w:tmpl w:val="EB5CCBB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28B251A"/>
    <w:multiLevelType w:val="hybridMultilevel"/>
    <w:tmpl w:val="35BCE8B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8C97E3D"/>
    <w:multiLevelType w:val="hybridMultilevel"/>
    <w:tmpl w:val="AD7AD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3D3385"/>
    <w:multiLevelType w:val="hybridMultilevel"/>
    <w:tmpl w:val="5ABC5B00"/>
    <w:lvl w:ilvl="0" w:tplc="0415000F">
      <w:start w:val="1"/>
      <w:numFmt w:val="decimal"/>
      <w:lvlText w:val="%1."/>
      <w:lvlJc w:val="left"/>
      <w:pPr>
        <w:ind w:left="720" w:hanging="360"/>
      </w:pPr>
    </w:lvl>
    <w:lvl w:ilvl="1" w:tplc="A112DCC8">
      <w:start w:val="1"/>
      <w:numFmt w:val="decimal"/>
      <w:lvlText w:val="%2)"/>
      <w:lvlJc w:val="left"/>
      <w:pPr>
        <w:ind w:left="1800" w:hanging="720"/>
      </w:pPr>
    </w:lvl>
    <w:lvl w:ilvl="2" w:tplc="9488A8B4">
      <w:start w:val="1"/>
      <w:numFmt w:val="lowerLetter"/>
      <w:lvlText w:val="%3)"/>
      <w:lvlJc w:val="left"/>
      <w:pPr>
        <w:ind w:left="2700" w:hanging="72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34E7635"/>
    <w:multiLevelType w:val="hybridMultilevel"/>
    <w:tmpl w:val="C04491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3F16AF3"/>
    <w:multiLevelType w:val="multilevel"/>
    <w:tmpl w:val="0415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7" w15:restartNumberingAfterBreak="0">
    <w:nsid w:val="4E990AD7"/>
    <w:multiLevelType w:val="hybridMultilevel"/>
    <w:tmpl w:val="F53480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66E4F8D"/>
    <w:multiLevelType w:val="hybridMultilevel"/>
    <w:tmpl w:val="356CF8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287394063">
    <w:abstractNumId w:val="3"/>
  </w:num>
  <w:num w:numId="2" w16cid:durableId="2048219714">
    <w:abstractNumId w:val="0"/>
  </w:num>
  <w:num w:numId="3" w16cid:durableId="150030273">
    <w:abstractNumId w:val="1"/>
  </w:num>
  <w:num w:numId="4" w16cid:durableId="1168247324">
    <w:abstractNumId w:val="2"/>
  </w:num>
  <w:num w:numId="5" w16cid:durableId="6312559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9673396">
    <w:abstractNumId w:val="7"/>
  </w:num>
  <w:num w:numId="7" w16cid:durableId="903300951">
    <w:abstractNumId w:val="8"/>
  </w:num>
  <w:num w:numId="8" w16cid:durableId="5981486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21703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4CD"/>
    <w:rsid w:val="000210A2"/>
    <w:rsid w:val="000574CD"/>
    <w:rsid w:val="000856E3"/>
    <w:rsid w:val="001237E0"/>
    <w:rsid w:val="00163B09"/>
    <w:rsid w:val="00177F3C"/>
    <w:rsid w:val="001825C0"/>
    <w:rsid w:val="0019323C"/>
    <w:rsid w:val="001E21F5"/>
    <w:rsid w:val="00204D15"/>
    <w:rsid w:val="002331C7"/>
    <w:rsid w:val="00262F81"/>
    <w:rsid w:val="00262FF1"/>
    <w:rsid w:val="002D1186"/>
    <w:rsid w:val="002F3DF5"/>
    <w:rsid w:val="003220D9"/>
    <w:rsid w:val="003B3BC1"/>
    <w:rsid w:val="003C142A"/>
    <w:rsid w:val="003C6303"/>
    <w:rsid w:val="00420AF1"/>
    <w:rsid w:val="00513E6E"/>
    <w:rsid w:val="00526C2F"/>
    <w:rsid w:val="00532086"/>
    <w:rsid w:val="00536B8C"/>
    <w:rsid w:val="00554007"/>
    <w:rsid w:val="00573665"/>
    <w:rsid w:val="005905A7"/>
    <w:rsid w:val="005D0324"/>
    <w:rsid w:val="00687B79"/>
    <w:rsid w:val="006B14EB"/>
    <w:rsid w:val="006B1A40"/>
    <w:rsid w:val="006B5C5C"/>
    <w:rsid w:val="006F59C5"/>
    <w:rsid w:val="00746AA8"/>
    <w:rsid w:val="007E31E1"/>
    <w:rsid w:val="00845AF0"/>
    <w:rsid w:val="008801D6"/>
    <w:rsid w:val="008A5AD0"/>
    <w:rsid w:val="008D1A0C"/>
    <w:rsid w:val="008E6F5E"/>
    <w:rsid w:val="00907132"/>
    <w:rsid w:val="00934A9F"/>
    <w:rsid w:val="00943B7D"/>
    <w:rsid w:val="00966E1D"/>
    <w:rsid w:val="0099123D"/>
    <w:rsid w:val="009A1E9F"/>
    <w:rsid w:val="009A5953"/>
    <w:rsid w:val="009A7F14"/>
    <w:rsid w:val="009C4EDE"/>
    <w:rsid w:val="009D2B1A"/>
    <w:rsid w:val="009F77AA"/>
    <w:rsid w:val="00A314CE"/>
    <w:rsid w:val="00A61FB6"/>
    <w:rsid w:val="00A6244E"/>
    <w:rsid w:val="00A91F9E"/>
    <w:rsid w:val="00AC7487"/>
    <w:rsid w:val="00AD1677"/>
    <w:rsid w:val="00AF6E7C"/>
    <w:rsid w:val="00B6460D"/>
    <w:rsid w:val="00B665BF"/>
    <w:rsid w:val="00BA0053"/>
    <w:rsid w:val="00BA4295"/>
    <w:rsid w:val="00BD2ECC"/>
    <w:rsid w:val="00BE5F7D"/>
    <w:rsid w:val="00C34C55"/>
    <w:rsid w:val="00D03EA9"/>
    <w:rsid w:val="00D07FD0"/>
    <w:rsid w:val="00D1044E"/>
    <w:rsid w:val="00D165F4"/>
    <w:rsid w:val="00D26B71"/>
    <w:rsid w:val="00D56249"/>
    <w:rsid w:val="00D75F98"/>
    <w:rsid w:val="00D812C8"/>
    <w:rsid w:val="00D8534D"/>
    <w:rsid w:val="00DA298E"/>
    <w:rsid w:val="00DB4F03"/>
    <w:rsid w:val="00DE3BDF"/>
    <w:rsid w:val="00DF51E9"/>
    <w:rsid w:val="00E22DA5"/>
    <w:rsid w:val="00E73D48"/>
    <w:rsid w:val="00E75C2D"/>
    <w:rsid w:val="00E771CA"/>
    <w:rsid w:val="00E931D9"/>
    <w:rsid w:val="00EA01F3"/>
    <w:rsid w:val="00EE21F1"/>
    <w:rsid w:val="00F054B4"/>
    <w:rsid w:val="00F26C3D"/>
    <w:rsid w:val="00F43FDC"/>
    <w:rsid w:val="00F56A1F"/>
    <w:rsid w:val="00F63994"/>
    <w:rsid w:val="00F72B00"/>
    <w:rsid w:val="00F919D6"/>
    <w:rsid w:val="00FF09CC"/>
    <w:rsid w:val="06BF7573"/>
    <w:rsid w:val="093D93F9"/>
    <w:rsid w:val="09B3655F"/>
    <w:rsid w:val="0D1DAF2B"/>
    <w:rsid w:val="0D3B1210"/>
    <w:rsid w:val="1036325A"/>
    <w:rsid w:val="1E141DAB"/>
    <w:rsid w:val="1FD867E9"/>
    <w:rsid w:val="248AD066"/>
    <w:rsid w:val="24AD27EE"/>
    <w:rsid w:val="2D171804"/>
    <w:rsid w:val="33647ADA"/>
    <w:rsid w:val="33EC074D"/>
    <w:rsid w:val="365A4E03"/>
    <w:rsid w:val="3680E33F"/>
    <w:rsid w:val="36BD7DC2"/>
    <w:rsid w:val="3D3AB7E4"/>
    <w:rsid w:val="3DAF4B68"/>
    <w:rsid w:val="470CC462"/>
    <w:rsid w:val="4CE01BBA"/>
    <w:rsid w:val="4FA61797"/>
    <w:rsid w:val="548CE6D5"/>
    <w:rsid w:val="54E1F22F"/>
    <w:rsid w:val="577D465A"/>
    <w:rsid w:val="59AA1A3B"/>
    <w:rsid w:val="5AB32AAD"/>
    <w:rsid w:val="5FB70897"/>
    <w:rsid w:val="60DF3747"/>
    <w:rsid w:val="61166455"/>
    <w:rsid w:val="6D9FE452"/>
    <w:rsid w:val="75565912"/>
    <w:rsid w:val="78DB90D2"/>
    <w:rsid w:val="7A1CE399"/>
    <w:rsid w:val="7A52046A"/>
    <w:rsid w:val="7A82E900"/>
    <w:rsid w:val="7C6269B3"/>
    <w:rsid w:val="7EF9BBC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5CF8"/>
  <w15:chartTrackingRefBased/>
  <w15:docId w15:val="{7D92C076-FF97-406B-8A88-24E56D6A4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74CD"/>
    <w:pPr>
      <w:spacing w:line="256" w:lineRule="auto"/>
    </w:pPr>
  </w:style>
  <w:style w:type="paragraph" w:styleId="Nagwek1">
    <w:name w:val="heading 1"/>
    <w:basedOn w:val="Normalny"/>
    <w:next w:val="Normalny"/>
    <w:link w:val="Nagwek1Znak"/>
    <w:uiPriority w:val="9"/>
    <w:qFormat/>
    <w:rsid w:val="00E22DA5"/>
    <w:pPr>
      <w:keepNext/>
      <w:keepLines/>
      <w:spacing w:before="240" w:after="0"/>
      <w:outlineLvl w:val="0"/>
    </w:pPr>
    <w:rPr>
      <w:rFonts w:asciiTheme="majorHAnsi" w:eastAsiaTheme="majorEastAsia" w:hAnsiTheme="majorHAnsi" w:cstheme="majorBidi"/>
      <w:color w:val="2F5496" w:themeColor="accent1" w:themeShade="BF"/>
      <w:sz w:val="28"/>
      <w:szCs w:val="32"/>
    </w:rPr>
  </w:style>
  <w:style w:type="paragraph" w:styleId="Nagwek2">
    <w:name w:val="heading 2"/>
    <w:basedOn w:val="Normalny"/>
    <w:next w:val="Normalny"/>
    <w:link w:val="Nagwek2Znak"/>
    <w:uiPriority w:val="9"/>
    <w:unhideWhenUsed/>
    <w:qFormat/>
    <w:rsid w:val="005320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574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574CD"/>
  </w:style>
  <w:style w:type="paragraph" w:styleId="Stopka">
    <w:name w:val="footer"/>
    <w:basedOn w:val="Normalny"/>
    <w:link w:val="StopkaZnak"/>
    <w:uiPriority w:val="99"/>
    <w:unhideWhenUsed/>
    <w:rsid w:val="000574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574CD"/>
  </w:style>
  <w:style w:type="paragraph" w:styleId="Akapitzlist">
    <w:name w:val="List Paragraph"/>
    <w:aliases w:val="Numerowanie"/>
    <w:basedOn w:val="Normalny"/>
    <w:link w:val="AkapitzlistZnak"/>
    <w:uiPriority w:val="34"/>
    <w:qFormat/>
    <w:rsid w:val="000574CD"/>
    <w:pPr>
      <w:ind w:left="720"/>
      <w:contextualSpacing/>
    </w:pPr>
  </w:style>
  <w:style w:type="character" w:styleId="Uwydatnienie">
    <w:name w:val="Emphasis"/>
    <w:basedOn w:val="Domylnaczcionkaakapitu"/>
    <w:uiPriority w:val="20"/>
    <w:qFormat/>
    <w:rsid w:val="00A91F9E"/>
    <w:rPr>
      <w:rFonts w:ascii="Times New Roman" w:hAnsi="Times New Roman" w:cs="Times New Roman" w:hint="default"/>
      <w:i/>
      <w:iCs w:val="0"/>
    </w:rPr>
  </w:style>
  <w:style w:type="paragraph" w:customStyle="1" w:styleId="Table">
    <w:name w:val="Table"/>
    <w:basedOn w:val="Normalny"/>
    <w:uiPriority w:val="99"/>
    <w:rsid w:val="00A91F9E"/>
    <w:pPr>
      <w:spacing w:before="40" w:after="40"/>
    </w:pPr>
  </w:style>
  <w:style w:type="paragraph" w:customStyle="1" w:styleId="TableSmallRight">
    <w:name w:val="Table_Small_Right"/>
    <w:basedOn w:val="Normalny"/>
    <w:uiPriority w:val="99"/>
    <w:rsid w:val="00A91F9E"/>
    <w:pPr>
      <w:spacing w:before="40" w:after="40"/>
      <w:jc w:val="right"/>
    </w:pPr>
    <w:rPr>
      <w:sz w:val="16"/>
    </w:rPr>
  </w:style>
  <w:style w:type="character" w:customStyle="1" w:styleId="Nagwek1Znak">
    <w:name w:val="Nagłówek 1 Znak"/>
    <w:basedOn w:val="Domylnaczcionkaakapitu"/>
    <w:link w:val="Nagwek1"/>
    <w:uiPriority w:val="9"/>
    <w:rsid w:val="00E22DA5"/>
    <w:rPr>
      <w:rFonts w:asciiTheme="majorHAnsi" w:eastAsiaTheme="majorEastAsia" w:hAnsiTheme="majorHAnsi" w:cstheme="majorBidi"/>
      <w:color w:val="2F5496" w:themeColor="accent1" w:themeShade="BF"/>
      <w:sz w:val="28"/>
      <w:szCs w:val="32"/>
    </w:rPr>
  </w:style>
  <w:style w:type="paragraph" w:styleId="Nagwekspisutreci">
    <w:name w:val="TOC Heading"/>
    <w:basedOn w:val="Nagwek1"/>
    <w:next w:val="Normalny"/>
    <w:uiPriority w:val="39"/>
    <w:unhideWhenUsed/>
    <w:qFormat/>
    <w:rsid w:val="00F26C3D"/>
    <w:pPr>
      <w:spacing w:line="259" w:lineRule="auto"/>
      <w:outlineLvl w:val="9"/>
    </w:pPr>
    <w:rPr>
      <w:kern w:val="0"/>
      <w:lang w:eastAsia="pl-PL"/>
    </w:rPr>
  </w:style>
  <w:style w:type="paragraph" w:styleId="Spistreci1">
    <w:name w:val="toc 1"/>
    <w:basedOn w:val="Normalny"/>
    <w:next w:val="Normalny"/>
    <w:autoRedefine/>
    <w:uiPriority w:val="39"/>
    <w:unhideWhenUsed/>
    <w:rsid w:val="00F26C3D"/>
    <w:pPr>
      <w:spacing w:after="100"/>
    </w:pPr>
  </w:style>
  <w:style w:type="character" w:styleId="Hipercze">
    <w:name w:val="Hyperlink"/>
    <w:basedOn w:val="Domylnaczcionkaakapitu"/>
    <w:uiPriority w:val="99"/>
    <w:unhideWhenUsed/>
    <w:rsid w:val="00F26C3D"/>
    <w:rPr>
      <w:color w:val="0563C1" w:themeColor="hyperlink"/>
      <w:u w:val="single"/>
    </w:rPr>
  </w:style>
  <w:style w:type="paragraph" w:customStyle="1" w:styleId="Default">
    <w:name w:val="Default"/>
    <w:rsid w:val="00A6244E"/>
    <w:pPr>
      <w:autoSpaceDE w:val="0"/>
      <w:autoSpaceDN w:val="0"/>
      <w:adjustRightInd w:val="0"/>
      <w:spacing w:after="0" w:line="240" w:lineRule="auto"/>
    </w:pPr>
    <w:rPr>
      <w:rFonts w:ascii="Calibri" w:hAnsi="Calibri" w:cs="Calibri"/>
      <w:color w:val="000000"/>
      <w:kern w:val="0"/>
      <w:sz w:val="24"/>
      <w:szCs w:val="24"/>
    </w:rPr>
  </w:style>
  <w:style w:type="character" w:customStyle="1" w:styleId="AkapitzlistZnak">
    <w:name w:val="Akapit z listą Znak"/>
    <w:aliases w:val="Numerowanie Znak"/>
    <w:link w:val="Akapitzlist"/>
    <w:uiPriority w:val="34"/>
    <w:locked/>
    <w:rsid w:val="006F59C5"/>
  </w:style>
  <w:style w:type="paragraph" w:customStyle="1" w:styleId="Standardowy1">
    <w:name w:val="Standardowy1"/>
    <w:basedOn w:val="Normalny"/>
    <w:rsid w:val="006F59C5"/>
    <w:pPr>
      <w:spacing w:after="0" w:line="240" w:lineRule="auto"/>
    </w:pPr>
    <w:rPr>
      <w:rFonts w:ascii="Tahoma" w:eastAsia="Times New Roman" w:hAnsi="Tahoma" w:cs="Tahoma"/>
      <w:sz w:val="20"/>
      <w:szCs w:val="24"/>
      <w:lang w:eastAsia="pl-PL"/>
    </w:rPr>
  </w:style>
  <w:style w:type="character" w:customStyle="1" w:styleId="Nagwek2Znak">
    <w:name w:val="Nagłówek 2 Znak"/>
    <w:basedOn w:val="Domylnaczcionkaakapitu"/>
    <w:link w:val="Nagwek2"/>
    <w:uiPriority w:val="9"/>
    <w:rsid w:val="00532086"/>
    <w:rPr>
      <w:rFonts w:asciiTheme="majorHAnsi" w:eastAsiaTheme="majorEastAsia" w:hAnsiTheme="majorHAnsi" w:cstheme="majorBidi"/>
      <w:color w:val="2F5496" w:themeColor="accent1" w:themeShade="BF"/>
      <w:sz w:val="26"/>
      <w:szCs w:val="26"/>
    </w:rPr>
  </w:style>
  <w:style w:type="table" w:styleId="Tabela-Siatka">
    <w:name w:val="Table Grid"/>
    <w:basedOn w:val="Standardowy"/>
    <w:uiPriority w:val="39"/>
    <w:rsid w:val="00A31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rsid w:val="00D812C8"/>
    <w:pPr>
      <w:spacing w:after="100"/>
      <w:ind w:left="220"/>
    </w:pPr>
  </w:style>
  <w:style w:type="character" w:styleId="Odwoaniedokomentarza">
    <w:name w:val="annotation reference"/>
    <w:basedOn w:val="Domylnaczcionkaakapitu"/>
    <w:uiPriority w:val="99"/>
    <w:semiHidden/>
    <w:unhideWhenUsed/>
    <w:rsid w:val="00177F3C"/>
    <w:rPr>
      <w:sz w:val="16"/>
      <w:szCs w:val="16"/>
    </w:rPr>
  </w:style>
  <w:style w:type="paragraph" w:styleId="Tekstkomentarza">
    <w:name w:val="annotation text"/>
    <w:basedOn w:val="Normalny"/>
    <w:link w:val="TekstkomentarzaZnak"/>
    <w:uiPriority w:val="99"/>
    <w:unhideWhenUsed/>
    <w:rsid w:val="00177F3C"/>
    <w:pPr>
      <w:spacing w:line="240" w:lineRule="auto"/>
    </w:pPr>
    <w:rPr>
      <w:sz w:val="20"/>
      <w:szCs w:val="20"/>
    </w:rPr>
  </w:style>
  <w:style w:type="character" w:customStyle="1" w:styleId="TekstkomentarzaZnak">
    <w:name w:val="Tekst komentarza Znak"/>
    <w:basedOn w:val="Domylnaczcionkaakapitu"/>
    <w:link w:val="Tekstkomentarza"/>
    <w:uiPriority w:val="99"/>
    <w:rsid w:val="00177F3C"/>
    <w:rPr>
      <w:sz w:val="20"/>
      <w:szCs w:val="20"/>
    </w:rPr>
  </w:style>
  <w:style w:type="paragraph" w:styleId="Tematkomentarza">
    <w:name w:val="annotation subject"/>
    <w:basedOn w:val="Tekstkomentarza"/>
    <w:next w:val="Tekstkomentarza"/>
    <w:link w:val="TematkomentarzaZnak"/>
    <w:uiPriority w:val="99"/>
    <w:semiHidden/>
    <w:unhideWhenUsed/>
    <w:rsid w:val="00177F3C"/>
    <w:rPr>
      <w:b/>
      <w:bCs/>
    </w:rPr>
  </w:style>
  <w:style w:type="character" w:customStyle="1" w:styleId="TematkomentarzaZnak">
    <w:name w:val="Temat komentarza Znak"/>
    <w:basedOn w:val="TekstkomentarzaZnak"/>
    <w:link w:val="Tematkomentarza"/>
    <w:uiPriority w:val="99"/>
    <w:semiHidden/>
    <w:rsid w:val="00177F3C"/>
    <w:rPr>
      <w:b/>
      <w:bCs/>
      <w:sz w:val="20"/>
      <w:szCs w:val="20"/>
    </w:rPr>
  </w:style>
  <w:style w:type="paragraph" w:styleId="Poprawka">
    <w:name w:val="Revision"/>
    <w:hidden/>
    <w:uiPriority w:val="99"/>
    <w:semiHidden/>
    <w:rsid w:val="009912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6629">
      <w:bodyDiv w:val="1"/>
      <w:marLeft w:val="0"/>
      <w:marRight w:val="0"/>
      <w:marTop w:val="0"/>
      <w:marBottom w:val="0"/>
      <w:divBdr>
        <w:top w:val="none" w:sz="0" w:space="0" w:color="auto"/>
        <w:left w:val="none" w:sz="0" w:space="0" w:color="auto"/>
        <w:bottom w:val="none" w:sz="0" w:space="0" w:color="auto"/>
        <w:right w:val="none" w:sz="0" w:space="0" w:color="auto"/>
      </w:divBdr>
    </w:div>
    <w:div w:id="129370059">
      <w:bodyDiv w:val="1"/>
      <w:marLeft w:val="0"/>
      <w:marRight w:val="0"/>
      <w:marTop w:val="0"/>
      <w:marBottom w:val="0"/>
      <w:divBdr>
        <w:top w:val="none" w:sz="0" w:space="0" w:color="auto"/>
        <w:left w:val="none" w:sz="0" w:space="0" w:color="auto"/>
        <w:bottom w:val="none" w:sz="0" w:space="0" w:color="auto"/>
        <w:right w:val="none" w:sz="0" w:space="0" w:color="auto"/>
      </w:divBdr>
    </w:div>
    <w:div w:id="151022533">
      <w:bodyDiv w:val="1"/>
      <w:marLeft w:val="0"/>
      <w:marRight w:val="0"/>
      <w:marTop w:val="0"/>
      <w:marBottom w:val="0"/>
      <w:divBdr>
        <w:top w:val="none" w:sz="0" w:space="0" w:color="auto"/>
        <w:left w:val="none" w:sz="0" w:space="0" w:color="auto"/>
        <w:bottom w:val="none" w:sz="0" w:space="0" w:color="auto"/>
        <w:right w:val="none" w:sz="0" w:space="0" w:color="auto"/>
      </w:divBdr>
    </w:div>
    <w:div w:id="165633464">
      <w:bodyDiv w:val="1"/>
      <w:marLeft w:val="0"/>
      <w:marRight w:val="0"/>
      <w:marTop w:val="0"/>
      <w:marBottom w:val="0"/>
      <w:divBdr>
        <w:top w:val="none" w:sz="0" w:space="0" w:color="auto"/>
        <w:left w:val="none" w:sz="0" w:space="0" w:color="auto"/>
        <w:bottom w:val="none" w:sz="0" w:space="0" w:color="auto"/>
        <w:right w:val="none" w:sz="0" w:space="0" w:color="auto"/>
      </w:divBdr>
    </w:div>
    <w:div w:id="473105331">
      <w:bodyDiv w:val="1"/>
      <w:marLeft w:val="0"/>
      <w:marRight w:val="0"/>
      <w:marTop w:val="0"/>
      <w:marBottom w:val="0"/>
      <w:divBdr>
        <w:top w:val="none" w:sz="0" w:space="0" w:color="auto"/>
        <w:left w:val="none" w:sz="0" w:space="0" w:color="auto"/>
        <w:bottom w:val="none" w:sz="0" w:space="0" w:color="auto"/>
        <w:right w:val="none" w:sz="0" w:space="0" w:color="auto"/>
      </w:divBdr>
    </w:div>
    <w:div w:id="565379423">
      <w:bodyDiv w:val="1"/>
      <w:marLeft w:val="0"/>
      <w:marRight w:val="0"/>
      <w:marTop w:val="0"/>
      <w:marBottom w:val="0"/>
      <w:divBdr>
        <w:top w:val="none" w:sz="0" w:space="0" w:color="auto"/>
        <w:left w:val="none" w:sz="0" w:space="0" w:color="auto"/>
        <w:bottom w:val="none" w:sz="0" w:space="0" w:color="auto"/>
        <w:right w:val="none" w:sz="0" w:space="0" w:color="auto"/>
      </w:divBdr>
    </w:div>
    <w:div w:id="632712593">
      <w:bodyDiv w:val="1"/>
      <w:marLeft w:val="0"/>
      <w:marRight w:val="0"/>
      <w:marTop w:val="0"/>
      <w:marBottom w:val="0"/>
      <w:divBdr>
        <w:top w:val="none" w:sz="0" w:space="0" w:color="auto"/>
        <w:left w:val="none" w:sz="0" w:space="0" w:color="auto"/>
        <w:bottom w:val="none" w:sz="0" w:space="0" w:color="auto"/>
        <w:right w:val="none" w:sz="0" w:space="0" w:color="auto"/>
      </w:divBdr>
    </w:div>
    <w:div w:id="667638937">
      <w:bodyDiv w:val="1"/>
      <w:marLeft w:val="0"/>
      <w:marRight w:val="0"/>
      <w:marTop w:val="0"/>
      <w:marBottom w:val="0"/>
      <w:divBdr>
        <w:top w:val="none" w:sz="0" w:space="0" w:color="auto"/>
        <w:left w:val="none" w:sz="0" w:space="0" w:color="auto"/>
        <w:bottom w:val="none" w:sz="0" w:space="0" w:color="auto"/>
        <w:right w:val="none" w:sz="0" w:space="0" w:color="auto"/>
      </w:divBdr>
    </w:div>
    <w:div w:id="705721568">
      <w:bodyDiv w:val="1"/>
      <w:marLeft w:val="0"/>
      <w:marRight w:val="0"/>
      <w:marTop w:val="0"/>
      <w:marBottom w:val="0"/>
      <w:divBdr>
        <w:top w:val="none" w:sz="0" w:space="0" w:color="auto"/>
        <w:left w:val="none" w:sz="0" w:space="0" w:color="auto"/>
        <w:bottom w:val="none" w:sz="0" w:space="0" w:color="auto"/>
        <w:right w:val="none" w:sz="0" w:space="0" w:color="auto"/>
      </w:divBdr>
    </w:div>
    <w:div w:id="1260796540">
      <w:bodyDiv w:val="1"/>
      <w:marLeft w:val="0"/>
      <w:marRight w:val="0"/>
      <w:marTop w:val="0"/>
      <w:marBottom w:val="0"/>
      <w:divBdr>
        <w:top w:val="none" w:sz="0" w:space="0" w:color="auto"/>
        <w:left w:val="none" w:sz="0" w:space="0" w:color="auto"/>
        <w:bottom w:val="none" w:sz="0" w:space="0" w:color="auto"/>
        <w:right w:val="none" w:sz="0" w:space="0" w:color="auto"/>
      </w:divBdr>
    </w:div>
    <w:div w:id="1330593076">
      <w:bodyDiv w:val="1"/>
      <w:marLeft w:val="0"/>
      <w:marRight w:val="0"/>
      <w:marTop w:val="0"/>
      <w:marBottom w:val="0"/>
      <w:divBdr>
        <w:top w:val="none" w:sz="0" w:space="0" w:color="auto"/>
        <w:left w:val="none" w:sz="0" w:space="0" w:color="auto"/>
        <w:bottom w:val="none" w:sz="0" w:space="0" w:color="auto"/>
        <w:right w:val="none" w:sz="0" w:space="0" w:color="auto"/>
      </w:divBdr>
    </w:div>
    <w:div w:id="1455060243">
      <w:bodyDiv w:val="1"/>
      <w:marLeft w:val="0"/>
      <w:marRight w:val="0"/>
      <w:marTop w:val="0"/>
      <w:marBottom w:val="0"/>
      <w:divBdr>
        <w:top w:val="none" w:sz="0" w:space="0" w:color="auto"/>
        <w:left w:val="none" w:sz="0" w:space="0" w:color="auto"/>
        <w:bottom w:val="none" w:sz="0" w:space="0" w:color="auto"/>
        <w:right w:val="none" w:sz="0" w:space="0" w:color="auto"/>
      </w:divBdr>
    </w:div>
    <w:div w:id="19271839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90A373387E0B243999F4ABF5CA45C03" ma:contentTypeVersion="15" ma:contentTypeDescription="Utwórz nowy dokument." ma:contentTypeScope="" ma:versionID="5cca7192a6f7b61fb9ab2d3a0b4cf82f">
  <xsd:schema xmlns:xsd="http://www.w3.org/2001/XMLSchema" xmlns:xs="http://www.w3.org/2001/XMLSchema" xmlns:p="http://schemas.microsoft.com/office/2006/metadata/properties" xmlns:ns2="dd7ad047-713b-4d00-bb4d-bc7d9c55ac95" xmlns:ns3="b0d715e5-4080-4684-8fde-d4e3528aea19" targetNamespace="http://schemas.microsoft.com/office/2006/metadata/properties" ma:root="true" ma:fieldsID="eee1bf5d9a3e73a0b9999fcf6035a61a" ns2:_="" ns3:_="">
    <xsd:import namespace="dd7ad047-713b-4d00-bb4d-bc7d9c55ac95"/>
    <xsd:import namespace="b0d715e5-4080-4684-8fde-d4e3528aea1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7ad047-713b-4d00-bb4d-bc7d9c55ac95"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cd78eb37-b26c-4c1e-889c-6e4712ea687e}" ma:internalName="TaxCatchAll" ma:showField="CatchAllData" ma:web="dd7ad047-713b-4d00-bb4d-bc7d9c55ac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715e5-4080-4684-8fde-d4e3528aea1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06ba318e-356d-4fca-bff6-30f0e94621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d715e5-4080-4684-8fde-d4e3528aea19">
      <Terms xmlns="http://schemas.microsoft.com/office/infopath/2007/PartnerControls"/>
    </lcf76f155ced4ddcb4097134ff3c332f>
    <TaxCatchAll xmlns="dd7ad047-713b-4d00-bb4d-bc7d9c55ac95" xsi:nil="true"/>
  </documentManagement>
</p:properties>
</file>

<file path=customXml/itemProps1.xml><?xml version="1.0" encoding="utf-8"?>
<ds:datastoreItem xmlns:ds="http://schemas.openxmlformats.org/officeDocument/2006/customXml" ds:itemID="{7F1BB39D-4671-4B9E-8747-6C0A2532E204}">
  <ds:schemaRefs>
    <ds:schemaRef ds:uri="http://schemas.microsoft.com/sharepoint/v3/contenttype/forms"/>
  </ds:schemaRefs>
</ds:datastoreItem>
</file>

<file path=customXml/itemProps2.xml><?xml version="1.0" encoding="utf-8"?>
<ds:datastoreItem xmlns:ds="http://schemas.openxmlformats.org/officeDocument/2006/customXml" ds:itemID="{581E0691-5EA6-4F4B-8D48-97F5F213F8AE}">
  <ds:schemaRefs>
    <ds:schemaRef ds:uri="http://schemas.openxmlformats.org/officeDocument/2006/bibliography"/>
  </ds:schemaRefs>
</ds:datastoreItem>
</file>

<file path=customXml/itemProps3.xml><?xml version="1.0" encoding="utf-8"?>
<ds:datastoreItem xmlns:ds="http://schemas.openxmlformats.org/officeDocument/2006/customXml" ds:itemID="{9148A34A-C004-4235-8EEE-66EC659889E6}"/>
</file>

<file path=customXml/itemProps4.xml><?xml version="1.0" encoding="utf-8"?>
<ds:datastoreItem xmlns:ds="http://schemas.openxmlformats.org/officeDocument/2006/customXml" ds:itemID="{972E6EC9-2E80-4580-84BE-E55491A03E63}">
  <ds:schemaRefs>
    <ds:schemaRef ds:uri="http://schemas.microsoft.com/office/2006/metadata/properties"/>
    <ds:schemaRef ds:uri="http://schemas.microsoft.com/office/infopath/2007/PartnerControls"/>
    <ds:schemaRef ds:uri="http://schemas.microsoft.com/sharepoint/v3"/>
    <ds:schemaRef ds:uri="43dbed37-3524-4479-ac42-3927032cd77b"/>
    <ds:schemaRef ds:uri="43dcdcaf-f41b-4e31-8b95-e29e7de55f19"/>
    <ds:schemaRef ds:uri="71ac255b-424f-4ec6-b5df-aa58a9fc21e5"/>
    <ds:schemaRef ds:uri="4d0e08a8-e1fb-4880-b35a-7b2a170a00b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2582</Words>
  <Characters>15492</Characters>
  <Application>Microsoft Office Word</Application>
  <DocSecurity>0</DocSecurity>
  <Lines>129</Lines>
  <Paragraphs>36</Paragraphs>
  <ScaleCrop>false</ScaleCrop>
  <Company/>
  <LinksUpToDate>false</LinksUpToDate>
  <CharactersWithSpaces>18038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Kramarczyk</dc:creator>
  <cp:keywords/>
  <dc:description/>
  <cp:lastModifiedBy>Jerzy Hadaś</cp:lastModifiedBy>
  <cp:revision>4</cp:revision>
  <dcterms:created xsi:type="dcterms:W3CDTF">2025-06-18T06:25:00Z</dcterms:created>
  <dcterms:modified xsi:type="dcterms:W3CDTF">2025-06-18T06:26:00Z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0x010100890A373387E0B243999F4ABF5CA45C03</vt:lpwstr>
  </property>
  <property fmtid="{D5CDD505-2E9C-101B-9397-08002B2CF9AE}" pid="3" name="MediaServiceImageTags">
    <vt:lpwstr/>
  </property>
</Properties>
</file>